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DD4384" w14:textId="18EF4C61" w:rsidR="00075EBA" w:rsidRDefault="00DE6ADD" w:rsidP="0028138D">
      <w:pPr>
        <w:jc w:val="center"/>
        <w:rPr>
          <w:b/>
          <w:bCs/>
        </w:rPr>
      </w:pPr>
      <w:r w:rsidRPr="00DE6ADD">
        <w:rPr>
          <w:b/>
          <w:bCs/>
        </w:rPr>
        <w:t>Using the Database</w:t>
      </w:r>
    </w:p>
    <w:p w14:paraId="770C4858" w14:textId="77777777" w:rsidR="0060500D" w:rsidRDefault="0060500D" w:rsidP="0060500D">
      <w:pPr>
        <w:rPr>
          <w:b/>
          <w:bCs/>
        </w:rPr>
      </w:pPr>
    </w:p>
    <w:p w14:paraId="2F51DC9D" w14:textId="7CF8FCEF" w:rsidR="0060500D" w:rsidRPr="00DE6ADD" w:rsidRDefault="0060500D" w:rsidP="00215AC9">
      <w:pPr>
        <w:spacing w:line="240" w:lineRule="auto"/>
        <w:rPr>
          <w:b/>
          <w:bCs/>
        </w:rPr>
      </w:pPr>
      <w:r>
        <w:rPr>
          <w:b/>
          <w:bCs/>
        </w:rPr>
        <w:t>Search Directions</w:t>
      </w:r>
    </w:p>
    <w:p w14:paraId="3373E9E2" w14:textId="0A3C33AE" w:rsidR="00DE6ADD" w:rsidRPr="00FD5128" w:rsidRDefault="00DE6ADD" w:rsidP="00215AC9">
      <w:pPr>
        <w:pStyle w:val="NormalWeb"/>
        <w:spacing w:before="200" w:beforeAutospacing="0" w:after="0" w:afterAutospacing="0"/>
        <w:jc w:val="both"/>
        <w:rPr>
          <w:rFonts w:asciiTheme="minorHAnsi" w:hAnsiTheme="minorHAnsi" w:cstheme="minorHAnsi"/>
        </w:rPr>
      </w:pPr>
      <w:r w:rsidRPr="00FD5128">
        <w:rPr>
          <w:rFonts w:asciiTheme="minorHAnsi" w:hAnsiTheme="minorHAnsi" w:cstheme="minorHAnsi"/>
        </w:rPr>
        <w:t xml:space="preserve">The </w:t>
      </w:r>
      <w:r w:rsidR="00FD5128" w:rsidRPr="00FD5128">
        <w:rPr>
          <w:rFonts w:asciiTheme="minorHAnsi" w:hAnsiTheme="minorHAnsi" w:cstheme="minorHAnsi"/>
        </w:rPr>
        <w:t>database is</w:t>
      </w:r>
      <w:r w:rsidR="00FD5128" w:rsidRPr="00FD5128">
        <w:rPr>
          <w:rFonts w:asciiTheme="minorHAnsi" w:eastAsia="Calibri" w:hAnsiTheme="minorHAnsi" w:cstheme="minorHAnsi"/>
          <w:color w:val="000000" w:themeColor="text1"/>
          <w:kern w:val="24"/>
        </w:rPr>
        <w:t xml:space="preserve"> searchable in two directions: </w:t>
      </w:r>
      <w:r w:rsidR="00582778">
        <w:rPr>
          <w:rFonts w:asciiTheme="minorHAnsi" w:eastAsia="Calibri" w:hAnsiTheme="minorHAnsi" w:cstheme="minorHAnsi"/>
          <w:color w:val="000000" w:themeColor="text1"/>
          <w:kern w:val="24"/>
        </w:rPr>
        <w:t>on</w:t>
      </w:r>
      <w:r w:rsidR="00FD5128" w:rsidRPr="00FD5128">
        <w:rPr>
          <w:rFonts w:asciiTheme="minorHAnsi" w:eastAsia="Calibri" w:hAnsiTheme="minorHAnsi" w:cstheme="minorHAnsi"/>
          <w:color w:val="000000" w:themeColor="text1"/>
          <w:kern w:val="24"/>
        </w:rPr>
        <w:t xml:space="preserve"> the </w:t>
      </w:r>
      <w:r w:rsidRPr="00FD5128">
        <w:rPr>
          <w:rFonts w:asciiTheme="minorHAnsi" w:hAnsiTheme="minorHAnsi" w:cstheme="minorHAnsi"/>
        </w:rPr>
        <w:t>opening screen</w:t>
      </w:r>
      <w:r w:rsidR="00FD5128">
        <w:rPr>
          <w:rFonts w:asciiTheme="minorHAnsi" w:hAnsiTheme="minorHAnsi" w:cstheme="minorHAnsi"/>
        </w:rPr>
        <w:t>,</w:t>
      </w:r>
      <w:r w:rsidR="00FD5128" w:rsidRPr="00FD5128">
        <w:rPr>
          <w:rFonts w:asciiTheme="minorHAnsi" w:hAnsiTheme="minorHAnsi" w:cstheme="minorHAnsi"/>
        </w:rPr>
        <w:t xml:space="preserve"> near the top left-hand corner</w:t>
      </w:r>
      <w:r w:rsidR="00FD5128">
        <w:rPr>
          <w:rFonts w:asciiTheme="minorHAnsi" w:hAnsiTheme="minorHAnsi" w:cstheme="minorHAnsi"/>
        </w:rPr>
        <w:t xml:space="preserve">, </w:t>
      </w:r>
      <w:r w:rsidR="00582778">
        <w:rPr>
          <w:rFonts w:asciiTheme="minorHAnsi" w:hAnsiTheme="minorHAnsi" w:cstheme="minorHAnsi"/>
        </w:rPr>
        <w:t xml:space="preserve">users can </w:t>
      </w:r>
      <w:r w:rsidR="00FD5128">
        <w:rPr>
          <w:rFonts w:asciiTheme="minorHAnsi" w:hAnsiTheme="minorHAnsi" w:cstheme="minorHAnsi"/>
        </w:rPr>
        <w:t xml:space="preserve">set the buttons to either ‘Target’ as </w:t>
      </w:r>
      <w:r w:rsidR="008210D8">
        <w:rPr>
          <w:rFonts w:asciiTheme="minorHAnsi" w:hAnsiTheme="minorHAnsi" w:cstheme="minorHAnsi"/>
        </w:rPr>
        <w:t>their</w:t>
      </w:r>
      <w:r w:rsidR="00FD5128">
        <w:rPr>
          <w:rFonts w:asciiTheme="minorHAnsi" w:hAnsiTheme="minorHAnsi" w:cstheme="minorHAnsi"/>
        </w:rPr>
        <w:t xml:space="preserve"> starting point, or</w:t>
      </w:r>
      <w:r w:rsidR="008210D8">
        <w:rPr>
          <w:rFonts w:asciiTheme="minorHAnsi" w:hAnsiTheme="minorHAnsi" w:cstheme="minorHAnsi"/>
        </w:rPr>
        <w:t xml:space="preserve"> to</w:t>
      </w:r>
      <w:r w:rsidR="00FD5128">
        <w:rPr>
          <w:rFonts w:asciiTheme="minorHAnsi" w:hAnsiTheme="minorHAnsi" w:cstheme="minorHAnsi"/>
        </w:rPr>
        <w:t xml:space="preserve"> ‘Source’</w:t>
      </w:r>
      <w:r w:rsidRPr="00FD5128">
        <w:rPr>
          <w:rFonts w:asciiTheme="minorHAnsi" w:hAnsiTheme="minorHAnsi" w:cstheme="minorHAnsi"/>
        </w:rPr>
        <w:t>:</w:t>
      </w:r>
    </w:p>
    <w:p w14:paraId="05ACC842" w14:textId="508B48D1" w:rsidR="00FD5128" w:rsidRDefault="00FD5128" w:rsidP="00215AC9">
      <w:pPr>
        <w:spacing w:line="240" w:lineRule="auto"/>
        <w:ind w:left="360"/>
        <w:jc w:val="both"/>
      </w:pPr>
    </w:p>
    <w:p w14:paraId="0A7566A6" w14:textId="74C38912" w:rsidR="00FD5128" w:rsidRDefault="00FD5128" w:rsidP="00215AC9">
      <w:pPr>
        <w:spacing w:line="240" w:lineRule="auto"/>
        <w:ind w:left="360"/>
        <w:jc w:val="both"/>
      </w:pPr>
      <w:r>
        <w:rPr>
          <w:noProof/>
        </w:rPr>
        <w:drawing>
          <wp:inline distT="0" distB="0" distL="0" distR="0" wp14:anchorId="13D7C11C" wp14:editId="091334F7">
            <wp:extent cx="3552825" cy="981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2825" cy="981075"/>
                    </a:xfrm>
                    <a:prstGeom prst="rect">
                      <a:avLst/>
                    </a:prstGeom>
                    <a:noFill/>
                    <a:ln>
                      <a:noFill/>
                    </a:ln>
                  </pic:spPr>
                </pic:pic>
              </a:graphicData>
            </a:graphic>
          </wp:inline>
        </w:drawing>
      </w:r>
    </w:p>
    <w:p w14:paraId="0C6E8010" w14:textId="45C7852E" w:rsidR="00FD5128" w:rsidRDefault="00FD5128" w:rsidP="00215AC9">
      <w:pPr>
        <w:spacing w:line="240" w:lineRule="auto"/>
        <w:ind w:left="360"/>
        <w:jc w:val="both"/>
      </w:pPr>
    </w:p>
    <w:p w14:paraId="64F9B4E0" w14:textId="102DE434" w:rsidR="00FD5128" w:rsidRDefault="00FD5128" w:rsidP="00215AC9">
      <w:pPr>
        <w:pStyle w:val="NormalWeb"/>
        <w:spacing w:before="200" w:beforeAutospacing="0" w:after="0" w:afterAutospacing="0"/>
        <w:jc w:val="both"/>
        <w:rPr>
          <w:rFonts w:ascii="Calibri" w:eastAsia="Calibri" w:hAnsi="Calibri" w:cs="Calibri"/>
          <w:color w:val="000000" w:themeColor="text1"/>
          <w:kern w:val="24"/>
        </w:rPr>
      </w:pPr>
      <w:r>
        <w:rPr>
          <w:rFonts w:ascii="Calibri" w:eastAsia="Calibri" w:hAnsi="Calibri" w:cs="Calibri"/>
          <w:color w:val="000000" w:themeColor="text1"/>
          <w:kern w:val="24"/>
        </w:rPr>
        <w:t>If the s</w:t>
      </w:r>
      <w:r w:rsidRPr="00FD5128">
        <w:rPr>
          <w:rFonts w:ascii="Calibri" w:eastAsia="Calibri" w:hAnsi="Calibri" w:cs="Calibri"/>
          <w:color w:val="000000" w:themeColor="text1"/>
          <w:kern w:val="24"/>
        </w:rPr>
        <w:t>tarting point</w:t>
      </w:r>
      <w:r>
        <w:rPr>
          <w:rFonts w:ascii="Calibri" w:eastAsia="Calibri" w:hAnsi="Calibri" w:cs="Calibri"/>
          <w:color w:val="000000" w:themeColor="text1"/>
          <w:kern w:val="24"/>
        </w:rPr>
        <w:t xml:space="preserve"> is </w:t>
      </w:r>
      <w:r w:rsidR="00215AC9">
        <w:rPr>
          <w:rFonts w:ascii="Calibri" w:eastAsia="Calibri" w:hAnsi="Calibri" w:cs="Calibri"/>
          <w:color w:val="000000" w:themeColor="text1"/>
          <w:kern w:val="24"/>
        </w:rPr>
        <w:t>set to ‘</w:t>
      </w:r>
      <w:r w:rsidRPr="00FD5128">
        <w:rPr>
          <w:rFonts w:ascii="Calibri" w:eastAsia="Calibri" w:hAnsi="Calibri" w:cs="Calibri"/>
          <w:color w:val="000000" w:themeColor="text1"/>
          <w:kern w:val="24"/>
        </w:rPr>
        <w:t>target text</w:t>
      </w:r>
      <w:r w:rsidR="00215AC9">
        <w:rPr>
          <w:rFonts w:ascii="Calibri" w:eastAsia="Calibri" w:hAnsi="Calibri" w:cs="Calibri"/>
          <w:color w:val="000000" w:themeColor="text1"/>
          <w:kern w:val="24"/>
        </w:rPr>
        <w:t>’</w:t>
      </w:r>
      <w:r w:rsidRPr="00FD5128">
        <w:rPr>
          <w:rFonts w:ascii="Calibri" w:eastAsia="Calibri" w:hAnsi="Calibri" w:cs="Calibri"/>
          <w:color w:val="000000" w:themeColor="text1"/>
          <w:kern w:val="24"/>
        </w:rPr>
        <w:t xml:space="preserve"> (</w:t>
      </w:r>
      <w:r>
        <w:rPr>
          <w:rFonts w:ascii="Calibri" w:eastAsia="Calibri" w:hAnsi="Calibri" w:cs="Calibri"/>
          <w:color w:val="000000" w:themeColor="text1"/>
          <w:kern w:val="24"/>
        </w:rPr>
        <w:t xml:space="preserve">that is, the </w:t>
      </w:r>
      <w:r w:rsidRPr="00FD5128">
        <w:rPr>
          <w:rFonts w:ascii="Calibri" w:eastAsia="Calibri" w:hAnsi="Calibri" w:cs="Calibri"/>
          <w:color w:val="000000" w:themeColor="text1"/>
          <w:kern w:val="24"/>
        </w:rPr>
        <w:t>Anglo-Saxon text in Old English</w:t>
      </w:r>
      <w:r w:rsidR="00215AC9">
        <w:rPr>
          <w:rFonts w:ascii="Calibri" w:eastAsia="Calibri" w:hAnsi="Calibri" w:cs="Calibri"/>
          <w:color w:val="000000" w:themeColor="text1"/>
          <w:kern w:val="24"/>
        </w:rPr>
        <w:t xml:space="preserve"> or Anglo-</w:t>
      </w:r>
      <w:r w:rsidRPr="00FD5128">
        <w:rPr>
          <w:rFonts w:ascii="Calibri" w:eastAsia="Calibri" w:hAnsi="Calibri" w:cs="Calibri"/>
          <w:color w:val="000000" w:themeColor="text1"/>
          <w:kern w:val="24"/>
        </w:rPr>
        <w:t>Latin)</w:t>
      </w:r>
      <w:r>
        <w:rPr>
          <w:rFonts w:ascii="Calibri" w:eastAsia="Calibri" w:hAnsi="Calibri" w:cs="Calibri"/>
          <w:color w:val="000000" w:themeColor="text1"/>
          <w:kern w:val="24"/>
        </w:rPr>
        <w:t xml:space="preserve">, </w:t>
      </w:r>
      <w:r w:rsidR="006B3F67">
        <w:rPr>
          <w:rFonts w:ascii="Calibri" w:eastAsia="Calibri" w:hAnsi="Calibri" w:cs="Calibri"/>
          <w:color w:val="000000" w:themeColor="text1"/>
          <w:kern w:val="24"/>
        </w:rPr>
        <w:t>users</w:t>
      </w:r>
      <w:r>
        <w:rPr>
          <w:rFonts w:ascii="Calibri" w:eastAsia="Calibri" w:hAnsi="Calibri" w:cs="Calibri"/>
          <w:color w:val="000000" w:themeColor="text1"/>
          <w:kern w:val="24"/>
        </w:rPr>
        <w:t xml:space="preserve"> ask the database to find the </w:t>
      </w:r>
      <w:r w:rsidRPr="00FD5128">
        <w:rPr>
          <w:rFonts w:ascii="Calibri" w:eastAsia="Calibri" w:hAnsi="Calibri" w:cs="Calibri"/>
          <w:color w:val="000000" w:themeColor="text1"/>
          <w:kern w:val="24"/>
        </w:rPr>
        <w:t>sources</w:t>
      </w:r>
      <w:r>
        <w:rPr>
          <w:rFonts w:ascii="Calibri" w:eastAsia="Calibri" w:hAnsi="Calibri" w:cs="Calibri"/>
          <w:color w:val="000000" w:themeColor="text1"/>
          <w:kern w:val="24"/>
        </w:rPr>
        <w:t xml:space="preserve"> associated with this target text.</w:t>
      </w:r>
    </w:p>
    <w:p w14:paraId="622E9AA3" w14:textId="77777777" w:rsidR="00FD5128" w:rsidRDefault="00FD5128" w:rsidP="00215AC9">
      <w:pPr>
        <w:spacing w:before="200" w:after="0" w:line="240" w:lineRule="auto"/>
        <w:jc w:val="both"/>
        <w:rPr>
          <w:rFonts w:ascii="Calibri" w:eastAsia="Calibri" w:hAnsi="Calibri" w:cs="Calibri"/>
          <w:color w:val="000000" w:themeColor="text1"/>
          <w:kern w:val="24"/>
        </w:rPr>
      </w:pPr>
      <w:r>
        <w:rPr>
          <w:rFonts w:ascii="Calibri" w:eastAsia="Calibri" w:hAnsi="Calibri" w:cs="Calibri"/>
          <w:color w:val="000000" w:themeColor="text1"/>
          <w:kern w:val="24"/>
        </w:rPr>
        <w:t xml:space="preserve">Examples: </w:t>
      </w:r>
    </w:p>
    <w:p w14:paraId="17D1FA09" w14:textId="178B7682" w:rsidR="00FD5128" w:rsidRPr="00FD5128" w:rsidRDefault="00FD5128" w:rsidP="00215AC9">
      <w:pPr>
        <w:spacing w:before="200" w:after="0" w:line="240" w:lineRule="auto"/>
        <w:jc w:val="both"/>
        <w:rPr>
          <w:rFonts w:ascii="Times New Roman" w:eastAsia="Times New Roman" w:hAnsi="Times New Roman" w:cs="Times New Roman"/>
          <w:lang w:eastAsia="en-GB"/>
        </w:rPr>
      </w:pPr>
      <w:r w:rsidRPr="00FD5128">
        <w:rPr>
          <w:rFonts w:ascii="Calibri" w:eastAsia="+mn-ea" w:hAnsi="Calibri" w:cs="+mn-cs"/>
          <w:color w:val="000000"/>
          <w:kern w:val="24"/>
          <w:lang w:eastAsia="en-GB"/>
        </w:rPr>
        <w:t xml:space="preserve">Which sources were used for the composition of </w:t>
      </w:r>
      <w:r>
        <w:rPr>
          <w:rFonts w:ascii="Calibri" w:eastAsia="+mn-ea" w:hAnsi="Calibri" w:cs="+mn-cs"/>
          <w:color w:val="000000"/>
          <w:kern w:val="24"/>
          <w:lang w:eastAsia="en-GB"/>
        </w:rPr>
        <w:t>targ</w:t>
      </w:r>
      <w:r w:rsidR="00E44A87">
        <w:rPr>
          <w:rFonts w:ascii="Calibri" w:eastAsia="+mn-ea" w:hAnsi="Calibri" w:cs="+mn-cs"/>
          <w:color w:val="000000"/>
          <w:kern w:val="24"/>
          <w:lang w:eastAsia="en-GB"/>
        </w:rPr>
        <w:t>e</w:t>
      </w:r>
      <w:r>
        <w:rPr>
          <w:rFonts w:ascii="Calibri" w:eastAsia="+mn-ea" w:hAnsi="Calibri" w:cs="+mn-cs"/>
          <w:color w:val="000000"/>
          <w:kern w:val="24"/>
          <w:lang w:eastAsia="en-GB"/>
        </w:rPr>
        <w:t xml:space="preserve">t text </w:t>
      </w:r>
      <w:r w:rsidRPr="00FD5128">
        <w:rPr>
          <w:rFonts w:ascii="Calibri" w:eastAsia="+mn-ea" w:hAnsi="Calibri" w:cs="+mn-cs"/>
          <w:color w:val="000000"/>
          <w:kern w:val="24"/>
          <w:lang w:eastAsia="en-GB"/>
        </w:rPr>
        <w:t>Aldhelm</w:t>
      </w:r>
      <w:r w:rsidR="00215AC9">
        <w:rPr>
          <w:rFonts w:ascii="Calibri" w:eastAsia="+mn-ea" w:hAnsi="Calibri" w:cs="+mn-cs"/>
          <w:color w:val="000000"/>
          <w:kern w:val="24"/>
          <w:lang w:eastAsia="en-GB"/>
        </w:rPr>
        <w:t>,</w:t>
      </w:r>
      <w:r w:rsidRPr="00FD5128">
        <w:rPr>
          <w:rFonts w:ascii="Calibri" w:eastAsia="+mn-ea" w:hAnsi="Calibri" w:cs="+mn-cs"/>
          <w:color w:val="000000"/>
          <w:kern w:val="24"/>
          <w:lang w:eastAsia="en-GB"/>
        </w:rPr>
        <w:t xml:space="preserve"> </w:t>
      </w:r>
      <w:r w:rsidRPr="00FD5128">
        <w:rPr>
          <w:rFonts w:ascii="Calibri" w:eastAsia="+mn-ea" w:hAnsi="Calibri" w:cs="+mn-cs"/>
          <w:i/>
          <w:iCs/>
          <w:color w:val="000000"/>
          <w:kern w:val="24"/>
          <w:lang w:eastAsia="en-GB"/>
        </w:rPr>
        <w:t xml:space="preserve">Carmen ecclesiasticum </w:t>
      </w:r>
      <w:r w:rsidRPr="00FD5128">
        <w:rPr>
          <w:rFonts w:ascii="Calibri" w:eastAsia="+mn-ea" w:hAnsi="Calibri" w:cs="+mn-cs"/>
          <w:color w:val="000000"/>
          <w:kern w:val="24"/>
          <w:lang w:eastAsia="en-GB"/>
        </w:rPr>
        <w:t>3?</w:t>
      </w:r>
    </w:p>
    <w:p w14:paraId="6D71F572" w14:textId="6899FBFF" w:rsidR="00FD5128" w:rsidRPr="00FD5128" w:rsidRDefault="00FD5128" w:rsidP="00215AC9">
      <w:pPr>
        <w:spacing w:before="200" w:after="0" w:line="240" w:lineRule="auto"/>
        <w:jc w:val="both"/>
        <w:rPr>
          <w:rFonts w:ascii="Times New Roman" w:eastAsia="Times New Roman" w:hAnsi="Times New Roman" w:cs="Times New Roman"/>
          <w:lang w:eastAsia="en-GB"/>
        </w:rPr>
      </w:pPr>
      <w:r w:rsidRPr="00FD5128">
        <w:rPr>
          <w:rFonts w:ascii="Calibri" w:eastAsia="+mn-ea" w:hAnsi="Calibri" w:cs="+mn-cs"/>
          <w:color w:val="000000"/>
          <w:kern w:val="24"/>
          <w:lang w:eastAsia="en-GB"/>
        </w:rPr>
        <w:t xml:space="preserve">Which sources were used for the composition of </w:t>
      </w:r>
      <w:r>
        <w:rPr>
          <w:rFonts w:ascii="Calibri" w:eastAsia="+mn-ea" w:hAnsi="Calibri" w:cs="+mn-cs"/>
          <w:color w:val="000000"/>
          <w:kern w:val="24"/>
          <w:lang w:eastAsia="en-GB"/>
        </w:rPr>
        <w:t xml:space="preserve">target text </w:t>
      </w:r>
      <w:r w:rsidRPr="00FD5128">
        <w:rPr>
          <w:rFonts w:ascii="Calibri" w:eastAsia="+mn-ea" w:hAnsi="Calibri" w:cs="+mn-cs"/>
          <w:color w:val="000000"/>
          <w:kern w:val="24"/>
          <w:lang w:eastAsia="en-GB"/>
        </w:rPr>
        <w:t>Blickling Homily 14?</w:t>
      </w:r>
    </w:p>
    <w:p w14:paraId="606F90C8" w14:textId="77777777" w:rsidR="00215AC9" w:rsidRDefault="00215AC9" w:rsidP="00215AC9">
      <w:pPr>
        <w:pStyle w:val="NormalWeb"/>
        <w:spacing w:before="200" w:beforeAutospacing="0" w:after="0" w:afterAutospacing="0"/>
        <w:jc w:val="both"/>
        <w:rPr>
          <w:rFonts w:ascii="Calibri" w:eastAsia="Calibri" w:hAnsi="Calibri" w:cs="Calibri"/>
          <w:color w:val="000000" w:themeColor="text1"/>
          <w:kern w:val="24"/>
        </w:rPr>
      </w:pPr>
    </w:p>
    <w:p w14:paraId="688C9EB9" w14:textId="219865A4" w:rsidR="00FD5128" w:rsidRPr="00FD5128" w:rsidRDefault="00FD5128" w:rsidP="00215AC9">
      <w:pPr>
        <w:pStyle w:val="NormalWeb"/>
        <w:spacing w:before="200" w:beforeAutospacing="0" w:after="0" w:afterAutospacing="0"/>
        <w:jc w:val="both"/>
        <w:rPr>
          <w:rFonts w:ascii="Calibri" w:eastAsia="Calibri" w:hAnsi="Calibri" w:cs="Calibri"/>
          <w:color w:val="000000" w:themeColor="text1"/>
          <w:kern w:val="24"/>
        </w:rPr>
      </w:pPr>
      <w:r>
        <w:rPr>
          <w:rFonts w:ascii="Calibri" w:eastAsia="Calibri" w:hAnsi="Calibri" w:cs="Calibri"/>
          <w:color w:val="000000" w:themeColor="text1"/>
          <w:kern w:val="24"/>
        </w:rPr>
        <w:t>If the s</w:t>
      </w:r>
      <w:r w:rsidRPr="00FD5128">
        <w:rPr>
          <w:rFonts w:ascii="Calibri" w:eastAsia="Calibri" w:hAnsi="Calibri" w:cs="Calibri"/>
          <w:color w:val="000000" w:themeColor="text1"/>
          <w:kern w:val="24"/>
        </w:rPr>
        <w:t>tarting point</w:t>
      </w:r>
      <w:r>
        <w:rPr>
          <w:rFonts w:ascii="Calibri" w:eastAsia="Calibri" w:hAnsi="Calibri" w:cs="Calibri"/>
          <w:color w:val="000000" w:themeColor="text1"/>
          <w:kern w:val="24"/>
        </w:rPr>
        <w:t xml:space="preserve"> is </w:t>
      </w:r>
      <w:r w:rsidR="00215AC9">
        <w:rPr>
          <w:rFonts w:ascii="Calibri" w:eastAsia="Calibri" w:hAnsi="Calibri" w:cs="Calibri"/>
          <w:color w:val="000000" w:themeColor="text1"/>
          <w:kern w:val="24"/>
        </w:rPr>
        <w:t>set to ‘</w:t>
      </w:r>
      <w:r>
        <w:rPr>
          <w:rFonts w:ascii="Calibri" w:eastAsia="Calibri" w:hAnsi="Calibri" w:cs="Calibri"/>
          <w:color w:val="000000" w:themeColor="text1"/>
          <w:kern w:val="24"/>
        </w:rPr>
        <w:t>source text</w:t>
      </w:r>
      <w:r w:rsidR="00215AC9">
        <w:rPr>
          <w:rFonts w:ascii="Calibri" w:eastAsia="Calibri" w:hAnsi="Calibri" w:cs="Calibri"/>
          <w:color w:val="000000" w:themeColor="text1"/>
          <w:kern w:val="24"/>
        </w:rPr>
        <w:t>’</w:t>
      </w:r>
      <w:r>
        <w:rPr>
          <w:rFonts w:ascii="Calibri" w:eastAsia="Calibri" w:hAnsi="Calibri" w:cs="Calibri"/>
          <w:color w:val="000000" w:themeColor="text1"/>
          <w:kern w:val="24"/>
        </w:rPr>
        <w:t xml:space="preserve">, </w:t>
      </w:r>
      <w:r w:rsidR="006B3F67">
        <w:rPr>
          <w:rFonts w:ascii="Calibri" w:eastAsia="Calibri" w:hAnsi="Calibri" w:cs="Calibri"/>
          <w:color w:val="000000" w:themeColor="text1"/>
          <w:kern w:val="24"/>
        </w:rPr>
        <w:t>users</w:t>
      </w:r>
      <w:r>
        <w:rPr>
          <w:rFonts w:ascii="Calibri" w:eastAsia="Calibri" w:hAnsi="Calibri" w:cs="Calibri"/>
          <w:color w:val="000000" w:themeColor="text1"/>
          <w:kern w:val="24"/>
        </w:rPr>
        <w:t xml:space="preserve"> ask the database to find the target texts that used this source.</w:t>
      </w:r>
    </w:p>
    <w:p w14:paraId="12491027" w14:textId="77777777" w:rsidR="00FD5128" w:rsidRDefault="00FD5128" w:rsidP="00215AC9">
      <w:pPr>
        <w:spacing w:before="200" w:after="0" w:line="240" w:lineRule="auto"/>
        <w:jc w:val="both"/>
        <w:rPr>
          <w:rFonts w:ascii="Calibri" w:eastAsia="+mn-ea" w:hAnsi="Calibri" w:cs="+mn-cs"/>
          <w:color w:val="000000"/>
          <w:kern w:val="24"/>
          <w:lang w:eastAsia="en-GB"/>
        </w:rPr>
      </w:pPr>
      <w:r>
        <w:rPr>
          <w:rFonts w:ascii="Calibri" w:eastAsia="+mn-ea" w:hAnsi="Calibri" w:cs="+mn-cs"/>
          <w:color w:val="000000"/>
          <w:kern w:val="24"/>
          <w:lang w:eastAsia="en-GB"/>
        </w:rPr>
        <w:t>Examples:</w:t>
      </w:r>
    </w:p>
    <w:p w14:paraId="22F02588" w14:textId="79983EC6" w:rsidR="00FD5128" w:rsidRPr="00FD5128" w:rsidRDefault="00FD5128" w:rsidP="00215AC9">
      <w:pPr>
        <w:spacing w:before="200" w:after="0" w:line="240" w:lineRule="auto"/>
        <w:jc w:val="both"/>
        <w:rPr>
          <w:rFonts w:ascii="Times New Roman" w:eastAsia="Times New Roman" w:hAnsi="Times New Roman" w:cs="Times New Roman"/>
          <w:lang w:eastAsia="en-GB"/>
        </w:rPr>
      </w:pPr>
      <w:r w:rsidRPr="00FD5128">
        <w:rPr>
          <w:rFonts w:ascii="Calibri" w:eastAsia="+mn-ea" w:hAnsi="Calibri" w:cs="+mn-cs"/>
          <w:color w:val="000000"/>
          <w:kern w:val="24"/>
          <w:lang w:eastAsia="en-GB"/>
        </w:rPr>
        <w:t xml:space="preserve">Which </w:t>
      </w:r>
      <w:r>
        <w:rPr>
          <w:rFonts w:ascii="Calibri" w:eastAsia="+mn-ea" w:hAnsi="Calibri" w:cs="+mn-cs"/>
          <w:color w:val="000000"/>
          <w:kern w:val="24"/>
          <w:lang w:eastAsia="en-GB"/>
        </w:rPr>
        <w:t>target texts (Anglo-Saxon</w:t>
      </w:r>
      <w:r w:rsidRPr="00FD5128">
        <w:rPr>
          <w:rFonts w:ascii="Calibri" w:eastAsia="+mn-ea" w:hAnsi="Calibri" w:cs="+mn-cs"/>
          <w:color w:val="000000"/>
          <w:kern w:val="24"/>
          <w:lang w:eastAsia="en-GB"/>
        </w:rPr>
        <w:t xml:space="preserve"> authors</w:t>
      </w:r>
      <w:r>
        <w:rPr>
          <w:rFonts w:ascii="Calibri" w:eastAsia="+mn-ea" w:hAnsi="Calibri" w:cs="+mn-cs"/>
          <w:color w:val="000000"/>
          <w:kern w:val="24"/>
          <w:lang w:eastAsia="en-GB"/>
        </w:rPr>
        <w:t>,</w:t>
      </w:r>
      <w:r w:rsidRPr="00FD5128">
        <w:rPr>
          <w:rFonts w:ascii="Calibri" w:eastAsia="+mn-ea" w:hAnsi="Calibri" w:cs="+mn-cs"/>
          <w:color w:val="000000"/>
          <w:kern w:val="24"/>
          <w:lang w:eastAsia="en-GB"/>
        </w:rPr>
        <w:t xml:space="preserve"> whether writing in Old English or Latin) used the biblical book of Job</w:t>
      </w:r>
      <w:r w:rsidR="0060500D">
        <w:rPr>
          <w:rFonts w:ascii="Calibri" w:eastAsia="+mn-ea" w:hAnsi="Calibri" w:cs="+mn-cs"/>
          <w:color w:val="000000"/>
          <w:kern w:val="24"/>
          <w:lang w:eastAsia="en-GB"/>
        </w:rPr>
        <w:t xml:space="preserve"> as a source</w:t>
      </w:r>
      <w:r w:rsidRPr="00FD5128">
        <w:rPr>
          <w:rFonts w:ascii="Calibri" w:eastAsia="+mn-ea" w:hAnsi="Calibri" w:cs="+mn-cs"/>
          <w:color w:val="000000"/>
          <w:kern w:val="24"/>
          <w:lang w:eastAsia="en-GB"/>
        </w:rPr>
        <w:t>?</w:t>
      </w:r>
    </w:p>
    <w:p w14:paraId="71DC9889" w14:textId="0BADE61C" w:rsidR="00FD5128" w:rsidRDefault="00FD5128" w:rsidP="00215AC9">
      <w:pPr>
        <w:spacing w:before="200" w:after="0" w:line="240" w:lineRule="auto"/>
        <w:jc w:val="both"/>
        <w:rPr>
          <w:rFonts w:ascii="Calibri" w:eastAsia="+mn-ea" w:hAnsi="Calibri" w:cs="+mn-cs"/>
          <w:color w:val="000000"/>
          <w:kern w:val="24"/>
          <w:lang w:eastAsia="en-GB"/>
        </w:rPr>
      </w:pPr>
      <w:r w:rsidRPr="00FD5128">
        <w:rPr>
          <w:rFonts w:ascii="Calibri" w:eastAsia="+mn-ea" w:hAnsi="Calibri" w:cs="+mn-cs"/>
          <w:color w:val="000000"/>
          <w:kern w:val="24"/>
          <w:lang w:eastAsia="en-GB"/>
        </w:rPr>
        <w:t xml:space="preserve">Which </w:t>
      </w:r>
      <w:r>
        <w:rPr>
          <w:rFonts w:ascii="Calibri" w:eastAsia="+mn-ea" w:hAnsi="Calibri" w:cs="+mn-cs"/>
          <w:color w:val="000000"/>
          <w:kern w:val="24"/>
          <w:lang w:eastAsia="en-GB"/>
        </w:rPr>
        <w:t>target texts (</w:t>
      </w:r>
      <w:r w:rsidRPr="00FD5128">
        <w:rPr>
          <w:rFonts w:ascii="Calibri" w:eastAsia="+mn-ea" w:hAnsi="Calibri" w:cs="+mn-cs"/>
          <w:color w:val="000000"/>
          <w:kern w:val="24"/>
          <w:lang w:eastAsia="en-GB"/>
        </w:rPr>
        <w:t>Anglo-Saxon authors</w:t>
      </w:r>
      <w:r>
        <w:rPr>
          <w:rFonts w:ascii="Calibri" w:eastAsia="+mn-ea" w:hAnsi="Calibri" w:cs="+mn-cs"/>
          <w:color w:val="000000"/>
          <w:kern w:val="24"/>
          <w:lang w:eastAsia="en-GB"/>
        </w:rPr>
        <w:t>,</w:t>
      </w:r>
      <w:r w:rsidRPr="00FD5128">
        <w:rPr>
          <w:rFonts w:ascii="Calibri" w:eastAsia="+mn-ea" w:hAnsi="Calibri" w:cs="+mn-cs"/>
          <w:color w:val="000000"/>
          <w:kern w:val="24"/>
          <w:lang w:eastAsia="en-GB"/>
        </w:rPr>
        <w:t xml:space="preserve"> whether writing in Old English or Latin) used Gregory the Great’s </w:t>
      </w:r>
      <w:r w:rsidRPr="00FD5128">
        <w:rPr>
          <w:rFonts w:ascii="Calibri" w:eastAsia="+mn-ea" w:hAnsi="Calibri" w:cs="+mn-cs"/>
          <w:i/>
          <w:iCs/>
          <w:color w:val="000000"/>
          <w:kern w:val="24"/>
          <w:lang w:eastAsia="en-GB"/>
        </w:rPr>
        <w:t>Moralia in Iob</w:t>
      </w:r>
      <w:r w:rsidR="0060500D">
        <w:rPr>
          <w:rFonts w:ascii="Calibri" w:eastAsia="+mn-ea" w:hAnsi="Calibri" w:cs="+mn-cs"/>
          <w:i/>
          <w:iCs/>
          <w:color w:val="000000"/>
          <w:kern w:val="24"/>
          <w:lang w:eastAsia="en-GB"/>
        </w:rPr>
        <w:t xml:space="preserve"> </w:t>
      </w:r>
      <w:r w:rsidR="0060500D" w:rsidRPr="0060500D">
        <w:rPr>
          <w:rFonts w:ascii="Calibri" w:eastAsia="+mn-ea" w:hAnsi="Calibri" w:cs="+mn-cs"/>
          <w:color w:val="000000"/>
          <w:kern w:val="24"/>
          <w:lang w:eastAsia="en-GB"/>
        </w:rPr>
        <w:t>as a source</w:t>
      </w:r>
      <w:r w:rsidRPr="00FD5128">
        <w:rPr>
          <w:rFonts w:ascii="Calibri" w:eastAsia="+mn-ea" w:hAnsi="Calibri" w:cs="+mn-cs"/>
          <w:color w:val="000000"/>
          <w:kern w:val="24"/>
          <w:lang w:eastAsia="en-GB"/>
        </w:rPr>
        <w:t>?</w:t>
      </w:r>
    </w:p>
    <w:p w14:paraId="44E91CC4" w14:textId="2D404AFC" w:rsidR="00FD5128" w:rsidRPr="0060500D" w:rsidRDefault="00FD5128" w:rsidP="00215AC9">
      <w:pPr>
        <w:spacing w:line="240" w:lineRule="auto"/>
        <w:ind w:left="360"/>
        <w:jc w:val="both"/>
        <w:rPr>
          <w:rFonts w:eastAsia="Times New Roman"/>
          <w:b/>
          <w:bCs/>
          <w:lang w:eastAsia="en-GB"/>
        </w:rPr>
      </w:pPr>
    </w:p>
    <w:p w14:paraId="1689787F" w14:textId="69A235D8" w:rsidR="0060500D" w:rsidRDefault="0060500D" w:rsidP="00215AC9">
      <w:pPr>
        <w:spacing w:line="240" w:lineRule="auto"/>
        <w:jc w:val="both"/>
        <w:rPr>
          <w:rFonts w:eastAsia="Times New Roman"/>
          <w:b/>
          <w:bCs/>
          <w:lang w:eastAsia="en-GB"/>
        </w:rPr>
      </w:pPr>
      <w:r w:rsidRPr="0060500D">
        <w:rPr>
          <w:rFonts w:eastAsia="Times New Roman"/>
          <w:b/>
          <w:bCs/>
          <w:lang w:eastAsia="en-GB"/>
        </w:rPr>
        <w:t>Entering Authors and Texts</w:t>
      </w:r>
    </w:p>
    <w:p w14:paraId="0EF88573" w14:textId="797DA92C" w:rsidR="0060500D" w:rsidRPr="0060500D" w:rsidRDefault="0060500D" w:rsidP="00215AC9">
      <w:pPr>
        <w:spacing w:line="240" w:lineRule="auto"/>
        <w:jc w:val="both"/>
        <w:rPr>
          <w:rFonts w:eastAsia="Times New Roman"/>
          <w:lang w:eastAsia="en-GB"/>
        </w:rPr>
      </w:pPr>
      <w:r w:rsidRPr="0060500D">
        <w:rPr>
          <w:rFonts w:eastAsia="Times New Roman"/>
          <w:lang w:eastAsia="en-GB"/>
        </w:rPr>
        <w:t xml:space="preserve">Enter the details of </w:t>
      </w:r>
      <w:r w:rsidR="006B3F67">
        <w:rPr>
          <w:rFonts w:eastAsia="Times New Roman"/>
          <w:lang w:eastAsia="en-GB"/>
        </w:rPr>
        <w:t>a</w:t>
      </w:r>
      <w:r w:rsidRPr="0060500D">
        <w:rPr>
          <w:rFonts w:eastAsia="Times New Roman"/>
          <w:lang w:eastAsia="en-GB"/>
        </w:rPr>
        <w:t xml:space="preserve"> chosen text, by either typing the author, the title, the edition or the text reference into one or more of the search windows:</w:t>
      </w:r>
    </w:p>
    <w:p w14:paraId="5AE7F930" w14:textId="4C7F438C" w:rsidR="0060500D" w:rsidRDefault="0060500D" w:rsidP="00215AC9">
      <w:pPr>
        <w:spacing w:line="240" w:lineRule="auto"/>
        <w:jc w:val="both"/>
        <w:rPr>
          <w:b/>
          <w:bCs/>
        </w:rPr>
      </w:pPr>
      <w:r>
        <w:rPr>
          <w:noProof/>
        </w:rPr>
        <w:drawing>
          <wp:inline distT="0" distB="0" distL="0" distR="0" wp14:anchorId="2852A9B7" wp14:editId="076BC55D">
            <wp:extent cx="5731510" cy="982345"/>
            <wp:effectExtent l="0" t="0" r="254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982345"/>
                    </a:xfrm>
                    <a:prstGeom prst="rect">
                      <a:avLst/>
                    </a:prstGeom>
                    <a:noFill/>
                    <a:ln>
                      <a:noFill/>
                    </a:ln>
                  </pic:spPr>
                </pic:pic>
              </a:graphicData>
            </a:graphic>
          </wp:inline>
        </w:drawing>
      </w:r>
    </w:p>
    <w:p w14:paraId="182FAB0D" w14:textId="77777777" w:rsidR="0060500D" w:rsidRDefault="0060500D" w:rsidP="00215AC9">
      <w:pPr>
        <w:spacing w:line="240" w:lineRule="auto"/>
        <w:jc w:val="both"/>
        <w:rPr>
          <w:b/>
          <w:bCs/>
        </w:rPr>
      </w:pPr>
    </w:p>
    <w:p w14:paraId="08147A71" w14:textId="4FEE3298" w:rsidR="0060500D" w:rsidRPr="0060500D" w:rsidRDefault="0060500D" w:rsidP="00215AC9">
      <w:pPr>
        <w:spacing w:line="240" w:lineRule="auto"/>
        <w:jc w:val="both"/>
      </w:pPr>
      <w:r w:rsidRPr="0060500D">
        <w:t xml:space="preserve">Example: </w:t>
      </w:r>
    </w:p>
    <w:p w14:paraId="63C936D9" w14:textId="0017DA59" w:rsidR="0060500D" w:rsidRDefault="0060500D" w:rsidP="00215AC9">
      <w:pPr>
        <w:spacing w:line="240" w:lineRule="auto"/>
        <w:jc w:val="both"/>
      </w:pPr>
      <w:r w:rsidRPr="0060500D">
        <w:t>Type Blickling homily 14 under ‘Title’</w:t>
      </w:r>
    </w:p>
    <w:p w14:paraId="2E2035BD" w14:textId="1F74E1E6" w:rsidR="00953ED0" w:rsidRPr="0060500D" w:rsidRDefault="00953ED0" w:rsidP="00215AC9">
      <w:pPr>
        <w:spacing w:line="240" w:lineRule="auto"/>
        <w:jc w:val="both"/>
      </w:pPr>
      <w:r>
        <w:t>or</w:t>
      </w:r>
    </w:p>
    <w:p w14:paraId="666392FC" w14:textId="620AE6AE" w:rsidR="0060500D" w:rsidRDefault="0060500D" w:rsidP="00215AC9">
      <w:pPr>
        <w:spacing w:line="240" w:lineRule="auto"/>
        <w:jc w:val="both"/>
      </w:pPr>
      <w:r w:rsidRPr="0060500D">
        <w:t>Type</w:t>
      </w:r>
      <w:r>
        <w:t xml:space="preserve"> Anon (OE) under ‘Author’</w:t>
      </w:r>
    </w:p>
    <w:p w14:paraId="57408EE8" w14:textId="28E4601C" w:rsidR="00953ED0" w:rsidRDefault="00953ED0" w:rsidP="00215AC9">
      <w:pPr>
        <w:spacing w:line="240" w:lineRule="auto"/>
        <w:jc w:val="both"/>
      </w:pPr>
      <w:r>
        <w:t>or</w:t>
      </w:r>
    </w:p>
    <w:p w14:paraId="56C47B90" w14:textId="5C47D096" w:rsidR="0060500D" w:rsidRDefault="0060500D" w:rsidP="00215AC9">
      <w:pPr>
        <w:spacing w:line="240" w:lineRule="auto"/>
        <w:jc w:val="both"/>
      </w:pPr>
      <w:r>
        <w:t>Type Morris 1874-80 under ‘Edition’</w:t>
      </w:r>
    </w:p>
    <w:p w14:paraId="4A19F018" w14:textId="47558572" w:rsidR="00953ED0" w:rsidRDefault="00953ED0" w:rsidP="00215AC9">
      <w:pPr>
        <w:spacing w:line="240" w:lineRule="auto"/>
        <w:jc w:val="both"/>
      </w:pPr>
      <w:r>
        <w:t>or</w:t>
      </w:r>
    </w:p>
    <w:p w14:paraId="5306567B" w14:textId="5F4B33F8" w:rsidR="0060500D" w:rsidRDefault="0060500D" w:rsidP="00215AC9">
      <w:pPr>
        <w:spacing w:line="240" w:lineRule="auto"/>
        <w:jc w:val="both"/>
      </w:pPr>
      <w:r>
        <w:t>Type C.B.3.3.12 under ‘Reference’</w:t>
      </w:r>
    </w:p>
    <w:p w14:paraId="49C23CCC" w14:textId="77777777" w:rsidR="00953ED0" w:rsidRDefault="00953ED0" w:rsidP="00215AC9">
      <w:pPr>
        <w:spacing w:line="240" w:lineRule="auto"/>
        <w:jc w:val="both"/>
        <w:rPr>
          <w:b/>
          <w:bCs/>
        </w:rPr>
      </w:pPr>
    </w:p>
    <w:p w14:paraId="6315AD2C" w14:textId="287FCC02" w:rsidR="0060500D" w:rsidRDefault="0060500D" w:rsidP="00215AC9">
      <w:pPr>
        <w:spacing w:line="240" w:lineRule="auto"/>
        <w:jc w:val="both"/>
      </w:pPr>
      <w:r w:rsidRPr="0060500D">
        <w:rPr>
          <w:b/>
          <w:bCs/>
        </w:rPr>
        <w:t>Tip</w:t>
      </w:r>
      <w:r>
        <w:t>: using the ‘Title’ window is often the quickest</w:t>
      </w:r>
      <w:r w:rsidR="006B3F67">
        <w:t xml:space="preserve"> way forward</w:t>
      </w:r>
      <w:r>
        <w:t xml:space="preserve">, as it uses predictive text to guess which title </w:t>
      </w:r>
      <w:r w:rsidR="002C2259">
        <w:t>the user</w:t>
      </w:r>
      <w:r>
        <w:t xml:space="preserve"> </w:t>
      </w:r>
      <w:r w:rsidR="002C2259">
        <w:t>has in mind</w:t>
      </w:r>
      <w:r>
        <w:t xml:space="preserve">. </w:t>
      </w:r>
    </w:p>
    <w:p w14:paraId="700DA002" w14:textId="1EFE0BD9" w:rsidR="0060500D" w:rsidRDefault="0060500D" w:rsidP="00215AC9">
      <w:pPr>
        <w:spacing w:line="240" w:lineRule="auto"/>
        <w:jc w:val="both"/>
      </w:pPr>
      <w:r>
        <w:t xml:space="preserve">The Reference numbers </w:t>
      </w:r>
      <w:r w:rsidR="00CD66AE">
        <w:t xml:space="preserve">used in the database </w:t>
      </w:r>
      <w:r>
        <w:t xml:space="preserve">are the so-called Cameron-Frank numbers, </w:t>
      </w:r>
      <w:r w:rsidR="00900B2D">
        <w:t xml:space="preserve">for Old English texts </w:t>
      </w:r>
      <w:r>
        <w:t>given in R. Frank and A. Cameron,</w:t>
      </w:r>
      <w:r w:rsidR="00900B2D">
        <w:t xml:space="preserve"> ed.,</w:t>
      </w:r>
      <w:r>
        <w:t xml:space="preserve"> </w:t>
      </w:r>
      <w:r w:rsidRPr="00900B2D">
        <w:rPr>
          <w:i/>
          <w:iCs/>
        </w:rPr>
        <w:t>A Plan for the Dictionary of Old English</w:t>
      </w:r>
      <w:r>
        <w:t xml:space="preserve"> (Toronto, 1973). Searching by Cameron-Frank number may be </w:t>
      </w:r>
      <w:r w:rsidR="00900B2D">
        <w:t xml:space="preserve">the best </w:t>
      </w:r>
      <w:r>
        <w:t xml:space="preserve">idea if the text is  </w:t>
      </w:r>
      <w:r w:rsidR="00900B2D">
        <w:t xml:space="preserve">relatively </w:t>
      </w:r>
      <w:r w:rsidR="00CD66AE">
        <w:t xml:space="preserve">obscure </w:t>
      </w:r>
      <w:r w:rsidR="00900B2D">
        <w:t>and without a clearly established title.</w:t>
      </w:r>
      <w:r w:rsidR="00900B2D" w:rsidRPr="00900B2D">
        <w:t xml:space="preserve"> </w:t>
      </w:r>
      <w:r w:rsidR="00900B2D">
        <w:t xml:space="preserve">For Latin texts it is the number given in </w:t>
      </w:r>
      <w:r w:rsidR="00900B2D" w:rsidRPr="007166B3">
        <w:t>the list of Anglo-Latin texts</w:t>
      </w:r>
      <w:r w:rsidR="00900B2D">
        <w:t xml:space="preserve"> prepared by Michael Lapidge and Rosalind Love, preceded by L (e.g. L.N.100 for the </w:t>
      </w:r>
      <w:r w:rsidR="00900B2D" w:rsidRPr="00E44A87">
        <w:rPr>
          <w:i/>
          <w:iCs/>
        </w:rPr>
        <w:t>Liber monstrorum</w:t>
      </w:r>
      <w:r w:rsidR="00900B2D">
        <w:t>).</w:t>
      </w:r>
    </w:p>
    <w:p w14:paraId="5E4AA8F6" w14:textId="77777777" w:rsidR="00156583" w:rsidRDefault="00156583" w:rsidP="00215AC9">
      <w:pPr>
        <w:spacing w:line="240" w:lineRule="auto"/>
        <w:jc w:val="both"/>
        <w:rPr>
          <w:b/>
          <w:bCs/>
        </w:rPr>
      </w:pPr>
    </w:p>
    <w:p w14:paraId="5AF86C24" w14:textId="1BA9DB31" w:rsidR="00156583" w:rsidRPr="00156583" w:rsidRDefault="00156583" w:rsidP="00215AC9">
      <w:pPr>
        <w:spacing w:line="240" w:lineRule="auto"/>
        <w:jc w:val="both"/>
        <w:rPr>
          <w:b/>
          <w:bCs/>
        </w:rPr>
      </w:pPr>
      <w:r w:rsidRPr="00156583">
        <w:rPr>
          <w:b/>
          <w:bCs/>
        </w:rPr>
        <w:t>Search Results</w:t>
      </w:r>
    </w:p>
    <w:p w14:paraId="6E87211C" w14:textId="5ED3C76F" w:rsidR="00156583" w:rsidRDefault="00156583" w:rsidP="00215AC9">
      <w:pPr>
        <w:spacing w:line="240" w:lineRule="auto"/>
        <w:jc w:val="both"/>
      </w:pPr>
      <w:r>
        <w:t xml:space="preserve">Once </w:t>
      </w:r>
      <w:r w:rsidR="000E0EE0">
        <w:t xml:space="preserve">users click on </w:t>
      </w:r>
      <w:r>
        <w:t>‘Search’, the database will locate and present the text searched for in a light grey bar nearer the bottom of the screen:</w:t>
      </w:r>
    </w:p>
    <w:p w14:paraId="517589C7" w14:textId="1A7A257F" w:rsidR="005C1C01" w:rsidRDefault="005C1C01" w:rsidP="00215AC9">
      <w:pPr>
        <w:spacing w:line="240" w:lineRule="auto"/>
        <w:jc w:val="both"/>
      </w:pPr>
      <w:r>
        <w:rPr>
          <w:noProof/>
        </w:rPr>
        <w:drawing>
          <wp:inline distT="0" distB="0" distL="0" distR="0" wp14:anchorId="606265A4" wp14:editId="7C281DA0">
            <wp:extent cx="5731510" cy="76581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765810"/>
                    </a:xfrm>
                    <a:prstGeom prst="rect">
                      <a:avLst/>
                    </a:prstGeom>
                    <a:noFill/>
                    <a:ln>
                      <a:noFill/>
                    </a:ln>
                  </pic:spPr>
                </pic:pic>
              </a:graphicData>
            </a:graphic>
          </wp:inline>
        </w:drawing>
      </w:r>
    </w:p>
    <w:p w14:paraId="4D7818E2" w14:textId="77777777" w:rsidR="005C1C01" w:rsidRDefault="005C1C01" w:rsidP="00215AC9">
      <w:pPr>
        <w:spacing w:line="240" w:lineRule="auto"/>
        <w:jc w:val="both"/>
      </w:pPr>
    </w:p>
    <w:p w14:paraId="01E5A6CD" w14:textId="546955E6" w:rsidR="003C39C8" w:rsidRDefault="00156583" w:rsidP="00215AC9">
      <w:pPr>
        <w:spacing w:line="240" w:lineRule="auto"/>
        <w:jc w:val="both"/>
      </w:pPr>
      <w:r>
        <w:t xml:space="preserve">Click on the light grey bar with the text title (here ‘Blickling homily 14) to see </w:t>
      </w:r>
      <w:r w:rsidR="000E0EE0">
        <w:t>the relevant</w:t>
      </w:r>
      <w:r>
        <w:t xml:space="preserve"> search results:</w:t>
      </w:r>
    </w:p>
    <w:p w14:paraId="1ECB95AF" w14:textId="081CFE4F" w:rsidR="00156583" w:rsidRDefault="005C1C01" w:rsidP="005C1C01">
      <w:pPr>
        <w:spacing w:line="240" w:lineRule="auto"/>
        <w:jc w:val="both"/>
      </w:pPr>
      <w:r w:rsidRPr="005C1C01">
        <w:rPr>
          <w:noProof/>
        </w:rPr>
        <w:drawing>
          <wp:inline distT="0" distB="0" distL="0" distR="0" wp14:anchorId="6A06A970" wp14:editId="111082DB">
            <wp:extent cx="5731510" cy="1006475"/>
            <wp:effectExtent l="0" t="0" r="254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006475"/>
                    </a:xfrm>
                    <a:prstGeom prst="rect">
                      <a:avLst/>
                    </a:prstGeom>
                    <a:noFill/>
                    <a:ln>
                      <a:noFill/>
                    </a:ln>
                  </pic:spPr>
                </pic:pic>
              </a:graphicData>
            </a:graphic>
          </wp:inline>
        </w:drawing>
      </w:r>
    </w:p>
    <w:p w14:paraId="5D591BD3" w14:textId="77777777" w:rsidR="005C1C01" w:rsidRDefault="005C1C01" w:rsidP="00215AC9">
      <w:pPr>
        <w:spacing w:line="240" w:lineRule="auto"/>
        <w:jc w:val="both"/>
      </w:pPr>
    </w:p>
    <w:p w14:paraId="3FB4ECB6" w14:textId="5B54C010" w:rsidR="00156583" w:rsidRDefault="00156583" w:rsidP="00215AC9">
      <w:pPr>
        <w:spacing w:line="240" w:lineRule="auto"/>
        <w:jc w:val="both"/>
      </w:pPr>
      <w:r>
        <w:lastRenderedPageBreak/>
        <w:t>Click on any of the source texts listed in the light grey area to access further details of th</w:t>
      </w:r>
      <w:r w:rsidR="0049102A">
        <w:t>at</w:t>
      </w:r>
      <w:r>
        <w:t xml:space="preserve"> text</w:t>
      </w:r>
      <w:r w:rsidR="00035120">
        <w:t>. In our example, clicking on ‘Galatas, Biblia Sacra (= Galatians, Bible) will produce this dark blue bar:</w:t>
      </w:r>
    </w:p>
    <w:p w14:paraId="49883E01" w14:textId="77777777" w:rsidR="00156583" w:rsidRDefault="00156583" w:rsidP="00215AC9">
      <w:pPr>
        <w:spacing w:line="240" w:lineRule="auto"/>
        <w:ind w:left="360"/>
        <w:jc w:val="both"/>
      </w:pPr>
    </w:p>
    <w:p w14:paraId="18BDDE22" w14:textId="309710B6" w:rsidR="00597702" w:rsidRDefault="00597702" w:rsidP="00215AC9">
      <w:pPr>
        <w:spacing w:line="240" w:lineRule="auto"/>
        <w:ind w:left="360"/>
        <w:jc w:val="both"/>
      </w:pPr>
      <w:r>
        <w:rPr>
          <w:noProof/>
        </w:rPr>
        <w:drawing>
          <wp:inline distT="0" distB="0" distL="0" distR="0" wp14:anchorId="0E87EA40" wp14:editId="35C41FBC">
            <wp:extent cx="5731510" cy="3810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1000"/>
                    </a:xfrm>
                    <a:prstGeom prst="rect">
                      <a:avLst/>
                    </a:prstGeom>
                    <a:noFill/>
                    <a:ln>
                      <a:noFill/>
                    </a:ln>
                  </pic:spPr>
                </pic:pic>
              </a:graphicData>
            </a:graphic>
          </wp:inline>
        </w:drawing>
      </w:r>
    </w:p>
    <w:p w14:paraId="0928AD37" w14:textId="3871F56E" w:rsidR="00035120" w:rsidRDefault="00AB0404" w:rsidP="00215AC9">
      <w:pPr>
        <w:spacing w:line="240" w:lineRule="auto"/>
        <w:ind w:left="360"/>
        <w:jc w:val="both"/>
      </w:pPr>
      <w:r>
        <w:t>Within t</w:t>
      </w:r>
      <w:r w:rsidR="00035120">
        <w:t xml:space="preserve">he dark blue bar </w:t>
      </w:r>
      <w:r w:rsidR="008A3F84">
        <w:t>users can</w:t>
      </w:r>
      <w:r>
        <w:t xml:space="preserve"> see</w:t>
      </w:r>
      <w:r w:rsidR="00035120">
        <w:t xml:space="preserve"> the target text location in question, the target text quotation and a siglum.</w:t>
      </w:r>
    </w:p>
    <w:p w14:paraId="6E4DDBF3" w14:textId="5F241A80" w:rsidR="00035120" w:rsidRDefault="00035120" w:rsidP="00215AC9">
      <w:pPr>
        <w:spacing w:line="240" w:lineRule="auto"/>
        <w:ind w:left="360"/>
        <w:jc w:val="both"/>
      </w:pPr>
      <w:r>
        <w:t xml:space="preserve">In our example, </w:t>
      </w:r>
      <w:r w:rsidR="00AB0404">
        <w:t>these details mean that</w:t>
      </w:r>
      <w:r w:rsidR="008A3F84">
        <w:t xml:space="preserve">, on clicking on the dark blue bar, uses </w:t>
      </w:r>
      <w:r w:rsidR="00AB0404">
        <w:t xml:space="preserve">will now be receiving the source details for the </w:t>
      </w:r>
      <w:r>
        <w:t xml:space="preserve">passage from Blickling homily 14 </w:t>
      </w:r>
      <w:r w:rsidR="00AB0404">
        <w:t xml:space="preserve">located </w:t>
      </w:r>
      <w:r>
        <w:t xml:space="preserve">at p. 165, lines 23-24 </w:t>
      </w:r>
      <w:r w:rsidR="00AB0404">
        <w:t xml:space="preserve">in the edition and which </w:t>
      </w:r>
      <w:r>
        <w:t>has the quotation ‘swa sanctus paulus… ne lybbe ic ac crist leofað’ and is linked to a source passage with the siglum SA1.</w:t>
      </w:r>
      <w:r w:rsidR="00847FCF">
        <w:t xml:space="preserve"> (More information on Sigla below)</w:t>
      </w:r>
      <w:r>
        <w:t xml:space="preserve"> </w:t>
      </w:r>
    </w:p>
    <w:p w14:paraId="3275A66E" w14:textId="77777777" w:rsidR="004F2B25" w:rsidRDefault="004F2B25" w:rsidP="00215AC9">
      <w:pPr>
        <w:spacing w:line="240" w:lineRule="auto"/>
        <w:ind w:left="360"/>
        <w:jc w:val="both"/>
      </w:pPr>
    </w:p>
    <w:p w14:paraId="4AF8782F" w14:textId="292DA242" w:rsidR="004F2B25" w:rsidRPr="004F2B25" w:rsidRDefault="004F2B25" w:rsidP="00215AC9">
      <w:pPr>
        <w:spacing w:line="240" w:lineRule="auto"/>
        <w:ind w:left="360"/>
        <w:jc w:val="both"/>
        <w:rPr>
          <w:b/>
          <w:bCs/>
        </w:rPr>
      </w:pPr>
      <w:r w:rsidRPr="004F2B25">
        <w:rPr>
          <w:b/>
          <w:bCs/>
        </w:rPr>
        <w:t>Full Details</w:t>
      </w:r>
    </w:p>
    <w:p w14:paraId="5145BD9C" w14:textId="0AE5CBC5" w:rsidR="00597702" w:rsidRDefault="00035120" w:rsidP="00215AC9">
      <w:pPr>
        <w:spacing w:line="240" w:lineRule="auto"/>
        <w:ind w:left="360"/>
        <w:jc w:val="both"/>
      </w:pPr>
      <w:r>
        <w:t xml:space="preserve">The full range of results will appear </w:t>
      </w:r>
      <w:r w:rsidR="008A3F84">
        <w:t>on</w:t>
      </w:r>
      <w:r>
        <w:t xml:space="preserve"> click</w:t>
      </w:r>
      <w:r w:rsidR="008A3F84">
        <w:t>ing</w:t>
      </w:r>
      <w:r w:rsidR="00AB0404">
        <w:t xml:space="preserve"> on the dark blue bar</w:t>
      </w:r>
      <w:r>
        <w:t>:</w:t>
      </w:r>
    </w:p>
    <w:p w14:paraId="44C467FC" w14:textId="7684AAFF" w:rsidR="00035120" w:rsidRDefault="00035120" w:rsidP="00215AC9">
      <w:pPr>
        <w:spacing w:line="240" w:lineRule="auto"/>
        <w:ind w:left="360"/>
        <w:jc w:val="both"/>
      </w:pPr>
      <w:r>
        <w:rPr>
          <w:noProof/>
        </w:rPr>
        <w:drawing>
          <wp:inline distT="0" distB="0" distL="0" distR="0" wp14:anchorId="6A593E66" wp14:editId="34EDA42F">
            <wp:extent cx="5731510" cy="2927350"/>
            <wp:effectExtent l="0" t="0" r="254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927350"/>
                    </a:xfrm>
                    <a:prstGeom prst="rect">
                      <a:avLst/>
                    </a:prstGeom>
                    <a:noFill/>
                    <a:ln>
                      <a:noFill/>
                    </a:ln>
                  </pic:spPr>
                </pic:pic>
              </a:graphicData>
            </a:graphic>
          </wp:inline>
        </w:drawing>
      </w:r>
    </w:p>
    <w:p w14:paraId="183B80C9" w14:textId="2B137E3D" w:rsidR="006D532E" w:rsidRDefault="00035120" w:rsidP="00215AC9">
      <w:pPr>
        <w:spacing w:line="240" w:lineRule="auto"/>
        <w:ind w:left="360"/>
        <w:jc w:val="both"/>
      </w:pPr>
      <w:r>
        <w:t xml:space="preserve">These results include the precise location of the target text passage and source text passage, </w:t>
      </w:r>
      <w:r w:rsidR="00893D11">
        <w:t xml:space="preserve">reference numbers, </w:t>
      </w:r>
      <w:r>
        <w:t>an explanation of what the siglum means</w:t>
      </w:r>
      <w:r w:rsidR="00893D11">
        <w:t xml:space="preserve">, bibliographical information, edition information, </w:t>
      </w:r>
      <w:r w:rsidR="006D532E">
        <w:t xml:space="preserve">the </w:t>
      </w:r>
      <w:r w:rsidR="00AD7035">
        <w:t xml:space="preserve">relevant </w:t>
      </w:r>
      <w:r w:rsidR="006D532E">
        <w:t xml:space="preserve">opening and closing words (or a full quotation if it is very short) </w:t>
      </w:r>
      <w:r w:rsidR="00AD7035">
        <w:t xml:space="preserve">from </w:t>
      </w:r>
      <w:r w:rsidR="006D532E">
        <w:t>of the target text and the source text, comments and the date on which the entry was last updated</w:t>
      </w:r>
      <w:r w:rsidR="00893D11">
        <w:t>.</w:t>
      </w:r>
      <w:r w:rsidR="006D532E" w:rsidRPr="006D532E">
        <w:t xml:space="preserve"> </w:t>
      </w:r>
    </w:p>
    <w:p w14:paraId="6FAFFF43" w14:textId="3EF85E53" w:rsidR="00035120" w:rsidRDefault="006D532E" w:rsidP="00215AC9">
      <w:pPr>
        <w:spacing w:line="240" w:lineRule="auto"/>
        <w:ind w:left="360"/>
        <w:jc w:val="both"/>
      </w:pPr>
      <w:r>
        <w:t>For citations from the Bible, source quotations are often not given since they are so readily accessible.</w:t>
      </w:r>
    </w:p>
    <w:p w14:paraId="41BB3C35" w14:textId="314B908B" w:rsidR="00E64809" w:rsidRDefault="00E64809" w:rsidP="00215AC9">
      <w:pPr>
        <w:spacing w:line="240" w:lineRule="auto"/>
        <w:ind w:left="360"/>
        <w:jc w:val="both"/>
      </w:pPr>
      <w:r>
        <w:t xml:space="preserve">The BHL number relates to the hagiographic sources, and refers to the number given for that text in </w:t>
      </w:r>
      <w:r w:rsidRPr="00E64809">
        <w:rPr>
          <w:i/>
          <w:iCs/>
        </w:rPr>
        <w:t>Bibliotheca Hagiographica Latin</w:t>
      </w:r>
      <w:r>
        <w:rPr>
          <w:i/>
          <w:iCs/>
        </w:rPr>
        <w:t>a</w:t>
      </w:r>
      <w:r>
        <w:t xml:space="preserve"> (2 vols., Brussels 1898-1901; </w:t>
      </w:r>
      <w:r w:rsidRPr="00E64809">
        <w:rPr>
          <w:i/>
          <w:iCs/>
        </w:rPr>
        <w:t xml:space="preserve">Subsidia </w:t>
      </w:r>
      <w:r w:rsidRPr="00E64809">
        <w:rPr>
          <w:i/>
          <w:iCs/>
        </w:rPr>
        <w:lastRenderedPageBreak/>
        <w:t>hagiographica</w:t>
      </w:r>
      <w:r>
        <w:t xml:space="preserve"> 6); with supplements in 1911 (</w:t>
      </w:r>
      <w:r w:rsidRPr="00E64809">
        <w:rPr>
          <w:i/>
          <w:iCs/>
        </w:rPr>
        <w:t>Subsidia hagiographica</w:t>
      </w:r>
      <w:r>
        <w:t xml:space="preserve"> 12) and 1986 (</w:t>
      </w:r>
      <w:r w:rsidRPr="00E64809">
        <w:rPr>
          <w:i/>
          <w:iCs/>
        </w:rPr>
        <w:t>Subsidia hagiographica</w:t>
      </w:r>
      <w:r>
        <w:t xml:space="preserve"> 70).</w:t>
      </w:r>
    </w:p>
    <w:p w14:paraId="7A4AA63A" w14:textId="0A28C7D6" w:rsidR="00AD7035" w:rsidRDefault="00AD7035" w:rsidP="00E72153">
      <w:pPr>
        <w:spacing w:line="240" w:lineRule="auto"/>
        <w:jc w:val="both"/>
        <w:rPr>
          <w:b/>
          <w:bCs/>
        </w:rPr>
      </w:pPr>
    </w:p>
    <w:p w14:paraId="3AF4F9D7" w14:textId="08AEEF63" w:rsidR="00AD7035" w:rsidRPr="00AD7035" w:rsidRDefault="00AD7035" w:rsidP="00215AC9">
      <w:pPr>
        <w:spacing w:line="240" w:lineRule="auto"/>
        <w:ind w:left="360"/>
        <w:jc w:val="both"/>
        <w:rPr>
          <w:b/>
          <w:bCs/>
        </w:rPr>
      </w:pPr>
      <w:r w:rsidRPr="00AD7035">
        <w:rPr>
          <w:b/>
          <w:bCs/>
        </w:rPr>
        <w:t xml:space="preserve">Author </w:t>
      </w:r>
      <w:r w:rsidR="00533557">
        <w:rPr>
          <w:b/>
          <w:bCs/>
        </w:rPr>
        <w:t xml:space="preserve">Names and </w:t>
      </w:r>
      <w:r w:rsidR="00E72153">
        <w:rPr>
          <w:b/>
          <w:bCs/>
        </w:rPr>
        <w:t xml:space="preserve">Text </w:t>
      </w:r>
      <w:r w:rsidR="00533557">
        <w:rPr>
          <w:b/>
          <w:bCs/>
        </w:rPr>
        <w:t>Titles</w:t>
      </w:r>
    </w:p>
    <w:p w14:paraId="48268218" w14:textId="4E1943EE" w:rsidR="00533557" w:rsidRDefault="00533557" w:rsidP="00533557">
      <w:pPr>
        <w:spacing w:line="240" w:lineRule="auto"/>
        <w:ind w:left="360"/>
        <w:jc w:val="both"/>
      </w:pPr>
      <w:r>
        <w:t>Author names appear in the form most conventional in English, except for Beda (target texts authored by the Venerable Bede) and Biblia Sacra (the Bible).</w:t>
      </w:r>
      <w:r w:rsidR="00E72153">
        <w:t xml:space="preserve"> Many texts are anonymous; these are designated as follows:</w:t>
      </w:r>
    </w:p>
    <w:p w14:paraId="47D9BDCB" w14:textId="244BE211" w:rsidR="00AD7035" w:rsidRDefault="00AD7035" w:rsidP="00215AC9">
      <w:pPr>
        <w:spacing w:line="240" w:lineRule="auto"/>
        <w:ind w:left="360"/>
        <w:jc w:val="both"/>
      </w:pPr>
      <w:r>
        <w:t>Anon (OE)</w:t>
      </w:r>
      <w:r w:rsidR="00533557">
        <w:t xml:space="preserve">: </w:t>
      </w:r>
      <w:r w:rsidR="00533557">
        <w:tab/>
        <w:t>anonymous authors of texts written in Old English</w:t>
      </w:r>
    </w:p>
    <w:p w14:paraId="4E877712" w14:textId="0E2C74B4" w:rsidR="00AD7035" w:rsidRDefault="00AD7035" w:rsidP="00215AC9">
      <w:pPr>
        <w:spacing w:line="240" w:lineRule="auto"/>
        <w:ind w:left="360"/>
        <w:jc w:val="both"/>
      </w:pPr>
      <w:r>
        <w:t>Anon (Lat</w:t>
      </w:r>
      <w:r w:rsidR="00533557">
        <w:t>.</w:t>
      </w:r>
      <w:r>
        <w:t>)</w:t>
      </w:r>
      <w:r w:rsidR="00533557">
        <w:t xml:space="preserve">: </w:t>
      </w:r>
      <w:r w:rsidR="00533557">
        <w:tab/>
        <w:t>anonymous authors of texts written in Latin</w:t>
      </w:r>
    </w:p>
    <w:p w14:paraId="7560E1B4" w14:textId="61C3A8B3" w:rsidR="009B0011" w:rsidRDefault="00E72153" w:rsidP="009B0011">
      <w:pPr>
        <w:spacing w:line="240" w:lineRule="auto"/>
        <w:ind w:left="360"/>
        <w:jc w:val="both"/>
      </w:pPr>
      <w:r>
        <w:t>The designation</w:t>
      </w:r>
      <w:r w:rsidR="009B0011">
        <w:t xml:space="preserve"> Anon (OE Martyrology) </w:t>
      </w:r>
      <w:r>
        <w:t xml:space="preserve">is used to </w:t>
      </w:r>
      <w:r w:rsidR="009B0011">
        <w:t xml:space="preserve">isolate the nearly 300 text sections </w:t>
      </w:r>
      <w:r w:rsidR="00172DF6">
        <w:t>of</w:t>
      </w:r>
      <w:r w:rsidR="009B0011">
        <w:t xml:space="preserve"> the </w:t>
      </w:r>
      <w:r w:rsidR="009B0011" w:rsidRPr="009B0011">
        <w:rPr>
          <w:i/>
          <w:iCs/>
        </w:rPr>
        <w:t>Old English Martyrology</w:t>
      </w:r>
      <w:r w:rsidR="009B0011">
        <w:rPr>
          <w:i/>
          <w:iCs/>
        </w:rPr>
        <w:t xml:space="preserve"> </w:t>
      </w:r>
      <w:r w:rsidR="009B0011" w:rsidRPr="009B0011">
        <w:t>and which are very diverse in their source backgro</w:t>
      </w:r>
      <w:r w:rsidR="00E44A87">
        <w:t>u</w:t>
      </w:r>
      <w:r w:rsidR="009B0011" w:rsidRPr="009B0011">
        <w:t>nd.</w:t>
      </w:r>
      <w:r w:rsidR="009B0011">
        <w:t xml:space="preserve"> </w:t>
      </w:r>
    </w:p>
    <w:p w14:paraId="0D479E1B" w14:textId="52D66245" w:rsidR="00AD7035" w:rsidRDefault="00172DF6" w:rsidP="00215AC9">
      <w:pPr>
        <w:spacing w:line="240" w:lineRule="auto"/>
        <w:ind w:left="360"/>
        <w:jc w:val="both"/>
      </w:pPr>
      <w:r>
        <w:t>S</w:t>
      </w:r>
      <w:r w:rsidR="00AD7035" w:rsidRPr="003C39C8">
        <w:t>ome texts will ap</w:t>
      </w:r>
      <w:r w:rsidR="00AD7035">
        <w:t>p</w:t>
      </w:r>
      <w:r w:rsidR="00AD7035" w:rsidRPr="003C39C8">
        <w:t xml:space="preserve">ear in both </w:t>
      </w:r>
      <w:r w:rsidR="00E72153">
        <w:t xml:space="preserve">the target text and source text </w:t>
      </w:r>
      <w:r w:rsidR="00AD7035" w:rsidRPr="003C39C8">
        <w:t xml:space="preserve">lists; thus Abbo of Fleury’s </w:t>
      </w:r>
      <w:r w:rsidR="00AD7035" w:rsidRPr="003C39C8">
        <w:rPr>
          <w:i/>
          <w:iCs/>
        </w:rPr>
        <w:t>Passio Eadmundi</w:t>
      </w:r>
      <w:r w:rsidR="00AD7035" w:rsidRPr="003C39C8">
        <w:t xml:space="preserve"> appears as a </w:t>
      </w:r>
      <w:r w:rsidR="00533557">
        <w:t>target text</w:t>
      </w:r>
      <w:r w:rsidR="00AD7035" w:rsidRPr="003C39C8">
        <w:t xml:space="preserve"> because it was written in Anglo-Saxon England, but it also appears as a </w:t>
      </w:r>
      <w:r w:rsidR="00533557">
        <w:t>s</w:t>
      </w:r>
      <w:r w:rsidR="00AD7035" w:rsidRPr="003C39C8">
        <w:t xml:space="preserve">ource </w:t>
      </w:r>
      <w:r w:rsidR="00E72153">
        <w:t>t</w:t>
      </w:r>
      <w:r w:rsidR="00AD7035" w:rsidRPr="003C39C8">
        <w:t xml:space="preserve">ext because it was used as a source </w:t>
      </w:r>
      <w:r w:rsidR="00E72153">
        <w:t>by Anglo-Saxon authors</w:t>
      </w:r>
      <w:r w:rsidR="00AD7035" w:rsidRPr="003C39C8">
        <w:t>, such as Ælfric</w:t>
      </w:r>
      <w:r w:rsidR="00E72153">
        <w:t xml:space="preserve">, for his </w:t>
      </w:r>
      <w:r w:rsidR="00AD7035" w:rsidRPr="003C39C8">
        <w:t>Life of St Edmund.</w:t>
      </w:r>
    </w:p>
    <w:p w14:paraId="550C7990" w14:textId="77777777" w:rsidR="00172DF6" w:rsidRDefault="00172DF6" w:rsidP="00D37D60">
      <w:pPr>
        <w:spacing w:line="240" w:lineRule="auto"/>
        <w:ind w:firstLine="360"/>
        <w:jc w:val="both"/>
        <w:rPr>
          <w:b/>
          <w:bCs/>
        </w:rPr>
      </w:pPr>
    </w:p>
    <w:p w14:paraId="6681BBFB" w14:textId="0584DC84" w:rsidR="00D37D60" w:rsidRPr="00533557" w:rsidRDefault="00D37D60" w:rsidP="00D37D60">
      <w:pPr>
        <w:spacing w:line="240" w:lineRule="auto"/>
        <w:ind w:firstLine="360"/>
        <w:jc w:val="both"/>
        <w:rPr>
          <w:b/>
          <w:bCs/>
        </w:rPr>
      </w:pPr>
      <w:r w:rsidRPr="00533557">
        <w:rPr>
          <w:b/>
          <w:bCs/>
        </w:rPr>
        <w:t xml:space="preserve">Re-attributions and </w:t>
      </w:r>
      <w:r w:rsidR="00533557">
        <w:rPr>
          <w:b/>
          <w:bCs/>
        </w:rPr>
        <w:t>N</w:t>
      </w:r>
      <w:r w:rsidRPr="00533557">
        <w:rPr>
          <w:b/>
          <w:bCs/>
        </w:rPr>
        <w:t xml:space="preserve">ew </w:t>
      </w:r>
      <w:r w:rsidR="00533557">
        <w:rPr>
          <w:b/>
          <w:bCs/>
        </w:rPr>
        <w:t>I</w:t>
      </w:r>
      <w:r w:rsidRPr="00533557">
        <w:rPr>
          <w:b/>
          <w:bCs/>
        </w:rPr>
        <w:t xml:space="preserve">dentifications of </w:t>
      </w:r>
      <w:r w:rsidR="00533557">
        <w:rPr>
          <w:b/>
          <w:bCs/>
        </w:rPr>
        <w:t>S</w:t>
      </w:r>
      <w:r w:rsidRPr="00533557">
        <w:rPr>
          <w:b/>
          <w:bCs/>
        </w:rPr>
        <w:t xml:space="preserve">ources </w:t>
      </w:r>
      <w:r w:rsidR="00533557" w:rsidRPr="00533557">
        <w:rPr>
          <w:b/>
          <w:bCs/>
        </w:rPr>
        <w:t xml:space="preserve"> </w:t>
      </w:r>
    </w:p>
    <w:p w14:paraId="46A0B02E" w14:textId="1DB5DABB" w:rsidR="00D37D60" w:rsidRDefault="00D37D60" w:rsidP="00D37D60">
      <w:pPr>
        <w:spacing w:line="240" w:lineRule="auto"/>
        <w:ind w:left="360"/>
        <w:jc w:val="both"/>
      </w:pPr>
      <w:r>
        <w:t>In identifying authors we have tried to keep abreast of modern re-attributions and identification, but</w:t>
      </w:r>
      <w:r w:rsidR="00533557">
        <w:t>,</w:t>
      </w:r>
      <w:r>
        <w:t xml:space="preserve"> since these are constantly changing</w:t>
      </w:r>
      <w:r w:rsidR="00533557">
        <w:t>,</w:t>
      </w:r>
      <w:r>
        <w:t xml:space="preserve"> users should be prepared to look for other possibilities (e.g. by consulting </w:t>
      </w:r>
      <w:r w:rsidRPr="00D37D60">
        <w:rPr>
          <w:i/>
          <w:iCs/>
        </w:rPr>
        <w:t>Clavis Patrum Latinorum</w:t>
      </w:r>
      <w:r>
        <w:t xml:space="preserve"> for patristic texts). Texts formerly ascribed to a known author but now of unknown authorship will appear, e.g., as Anonymous (Ps.Bede) or Anonymous (Ps.Gregory). Texts formerly attributed to one author</w:t>
      </w:r>
      <w:r w:rsidR="00533557">
        <w:t>,</w:t>
      </w:r>
      <w:r>
        <w:t xml:space="preserve"> but now ascribed to another</w:t>
      </w:r>
      <w:r w:rsidR="00533557">
        <w:t>,</w:t>
      </w:r>
      <w:r>
        <w:t xml:space="preserve"> might appear, e.g., as Quodvultdeus (Ps.Augustine).</w:t>
      </w:r>
    </w:p>
    <w:p w14:paraId="0592A99E" w14:textId="77777777" w:rsidR="00D37D60" w:rsidRDefault="00D37D60" w:rsidP="00215AC9">
      <w:pPr>
        <w:spacing w:line="240" w:lineRule="auto"/>
        <w:ind w:left="360"/>
        <w:jc w:val="both"/>
      </w:pPr>
    </w:p>
    <w:p w14:paraId="4C963AA0" w14:textId="4D2BE773" w:rsidR="00AD7035" w:rsidRDefault="00AD7035" w:rsidP="00215AC9">
      <w:pPr>
        <w:spacing w:line="240" w:lineRule="auto"/>
        <w:ind w:left="360"/>
        <w:jc w:val="both"/>
        <w:rPr>
          <w:b/>
          <w:bCs/>
        </w:rPr>
      </w:pPr>
      <w:r w:rsidRPr="00AD7035">
        <w:rPr>
          <w:b/>
          <w:bCs/>
        </w:rPr>
        <w:t>Sigla</w:t>
      </w:r>
    </w:p>
    <w:p w14:paraId="391D3670" w14:textId="02876A89" w:rsidR="00847FCF" w:rsidRDefault="00847FCF" w:rsidP="00215AC9">
      <w:pPr>
        <w:spacing w:line="240" w:lineRule="auto"/>
        <w:ind w:left="360"/>
        <w:jc w:val="both"/>
      </w:pPr>
      <w:r w:rsidRPr="00847FCF">
        <w:rPr>
          <w:b/>
          <w:bCs/>
        </w:rPr>
        <w:t>S</w:t>
      </w:r>
      <w:r>
        <w:tab/>
      </w:r>
      <w:r>
        <w:tab/>
        <w:t>single source</w:t>
      </w:r>
    </w:p>
    <w:p w14:paraId="200ECE68" w14:textId="7A6FA9E8" w:rsidR="00847FCF" w:rsidRDefault="00847FCF" w:rsidP="00215AC9">
      <w:pPr>
        <w:spacing w:line="240" w:lineRule="auto"/>
        <w:ind w:left="360"/>
        <w:jc w:val="both"/>
      </w:pPr>
      <w:r w:rsidRPr="00847FCF">
        <w:rPr>
          <w:b/>
          <w:bCs/>
        </w:rPr>
        <w:t>M</w:t>
      </w:r>
      <w:r w:rsidRPr="00847FCF">
        <w:rPr>
          <w:b/>
          <w:bCs/>
        </w:rPr>
        <w:tab/>
      </w:r>
      <w:r>
        <w:tab/>
        <w:t>one of multiple sources</w:t>
      </w:r>
    </w:p>
    <w:p w14:paraId="18D9DB61" w14:textId="77777777" w:rsidR="00847FCF" w:rsidRPr="00B27722" w:rsidRDefault="00847FCF" w:rsidP="00847FCF">
      <w:pPr>
        <w:spacing w:line="240" w:lineRule="auto"/>
        <w:ind w:left="360"/>
        <w:jc w:val="both"/>
      </w:pPr>
      <w:r>
        <w:rPr>
          <w:b/>
          <w:bCs/>
        </w:rPr>
        <w:t>SA</w:t>
      </w:r>
      <w:r>
        <w:rPr>
          <w:b/>
          <w:bCs/>
        </w:rPr>
        <w:tab/>
      </w:r>
      <w:r>
        <w:rPr>
          <w:b/>
          <w:bCs/>
        </w:rPr>
        <w:tab/>
      </w:r>
      <w:r w:rsidRPr="00B27722">
        <w:t>antecedent source (that is, the source of a source, in an indirect relationship)</w:t>
      </w:r>
    </w:p>
    <w:p w14:paraId="28D62451" w14:textId="40741D57" w:rsidR="00847FCF" w:rsidRPr="00B27722" w:rsidRDefault="00847FCF" w:rsidP="00847FCF">
      <w:pPr>
        <w:spacing w:line="240" w:lineRule="auto"/>
        <w:ind w:left="1440" w:hanging="1080"/>
        <w:jc w:val="both"/>
      </w:pPr>
      <w:r>
        <w:rPr>
          <w:b/>
          <w:bCs/>
        </w:rPr>
        <w:t>SX</w:t>
      </w:r>
      <w:r>
        <w:rPr>
          <w:b/>
          <w:bCs/>
        </w:rPr>
        <w:tab/>
      </w:r>
      <w:r w:rsidRPr="00B27722">
        <w:t>analogue (that is, a text with striking similarities with the target text, whose precise relationship and direction of indebtedness cannot however be established precisely)</w:t>
      </w:r>
    </w:p>
    <w:p w14:paraId="285AF96D" w14:textId="1EC42450" w:rsidR="00AD7035" w:rsidRDefault="00AD7035" w:rsidP="00215AC9">
      <w:pPr>
        <w:spacing w:line="240" w:lineRule="auto"/>
        <w:ind w:left="360"/>
        <w:jc w:val="both"/>
      </w:pPr>
      <w:r>
        <w:rPr>
          <w:b/>
          <w:bCs/>
        </w:rPr>
        <w:t>1</w:t>
      </w:r>
      <w:r w:rsidR="00847FCF">
        <w:rPr>
          <w:b/>
          <w:bCs/>
        </w:rPr>
        <w:t xml:space="preserve">, 2, 3, </w:t>
      </w:r>
      <w:r w:rsidR="00847FCF">
        <w:rPr>
          <w:b/>
          <w:bCs/>
        </w:rPr>
        <w:tab/>
      </w:r>
      <w:r w:rsidR="00847FCF" w:rsidRPr="00847FCF">
        <w:t>certain, probabl</w:t>
      </w:r>
      <w:r w:rsidR="00172DF6">
        <w:t>e</w:t>
      </w:r>
      <w:r w:rsidR="00847FCF" w:rsidRPr="00847FCF">
        <w:t>, possible</w:t>
      </w:r>
    </w:p>
    <w:p w14:paraId="541C9573" w14:textId="77777777" w:rsidR="00847FCF" w:rsidRDefault="00847FCF" w:rsidP="00215AC9">
      <w:pPr>
        <w:spacing w:line="240" w:lineRule="auto"/>
        <w:ind w:left="360"/>
        <w:jc w:val="both"/>
        <w:rPr>
          <w:b/>
          <w:bCs/>
        </w:rPr>
      </w:pPr>
      <w:r>
        <w:rPr>
          <w:b/>
          <w:bCs/>
        </w:rPr>
        <w:t>a</w:t>
      </w:r>
      <w:r>
        <w:rPr>
          <w:b/>
          <w:bCs/>
        </w:rPr>
        <w:tab/>
      </w:r>
      <w:r>
        <w:rPr>
          <w:b/>
          <w:bCs/>
        </w:rPr>
        <w:tab/>
      </w:r>
      <w:r w:rsidRPr="00172DF6">
        <w:t>and</w:t>
      </w:r>
    </w:p>
    <w:p w14:paraId="42D10B4E" w14:textId="602D500B" w:rsidR="00847FCF" w:rsidRDefault="00847FCF" w:rsidP="00215AC9">
      <w:pPr>
        <w:spacing w:line="240" w:lineRule="auto"/>
        <w:ind w:left="360"/>
        <w:jc w:val="both"/>
        <w:rPr>
          <w:b/>
          <w:bCs/>
        </w:rPr>
      </w:pPr>
      <w:r>
        <w:rPr>
          <w:b/>
          <w:bCs/>
        </w:rPr>
        <w:t>o</w:t>
      </w:r>
      <w:r>
        <w:rPr>
          <w:b/>
          <w:bCs/>
        </w:rPr>
        <w:tab/>
      </w:r>
      <w:r>
        <w:rPr>
          <w:b/>
          <w:bCs/>
        </w:rPr>
        <w:tab/>
      </w:r>
      <w:r w:rsidRPr="00172DF6">
        <w:t>or</w:t>
      </w:r>
      <w:r>
        <w:rPr>
          <w:b/>
          <w:bCs/>
        </w:rPr>
        <w:tab/>
      </w:r>
      <w:r>
        <w:rPr>
          <w:b/>
          <w:bCs/>
        </w:rPr>
        <w:tab/>
      </w:r>
    </w:p>
    <w:p w14:paraId="7E810423" w14:textId="77777777" w:rsidR="00953ED0" w:rsidRDefault="00953ED0" w:rsidP="00215AC9">
      <w:pPr>
        <w:spacing w:line="240" w:lineRule="auto"/>
        <w:ind w:left="360"/>
        <w:jc w:val="both"/>
        <w:rPr>
          <w:b/>
          <w:bCs/>
        </w:rPr>
      </w:pPr>
    </w:p>
    <w:p w14:paraId="34F436BD" w14:textId="77777777" w:rsidR="00953ED0" w:rsidRDefault="00953ED0" w:rsidP="00215AC9">
      <w:pPr>
        <w:spacing w:line="240" w:lineRule="auto"/>
        <w:ind w:left="360"/>
        <w:jc w:val="both"/>
        <w:rPr>
          <w:b/>
          <w:bCs/>
        </w:rPr>
      </w:pPr>
    </w:p>
    <w:p w14:paraId="4E93EEBE" w14:textId="3688B0D2" w:rsidR="00847FCF" w:rsidRDefault="00847FCF" w:rsidP="00215AC9">
      <w:pPr>
        <w:spacing w:line="240" w:lineRule="auto"/>
        <w:ind w:left="360"/>
        <w:jc w:val="both"/>
        <w:rPr>
          <w:b/>
          <w:bCs/>
        </w:rPr>
      </w:pPr>
      <w:r>
        <w:rPr>
          <w:b/>
          <w:bCs/>
        </w:rPr>
        <w:lastRenderedPageBreak/>
        <w:t xml:space="preserve">Examples: </w:t>
      </w:r>
    </w:p>
    <w:p w14:paraId="52F29F1A" w14:textId="0FA1F856" w:rsidR="00847FCF" w:rsidRDefault="00847FCF" w:rsidP="00215AC9">
      <w:pPr>
        <w:spacing w:line="240" w:lineRule="auto"/>
        <w:ind w:left="360"/>
        <w:jc w:val="both"/>
        <w:rPr>
          <w:b/>
          <w:bCs/>
        </w:rPr>
      </w:pPr>
      <w:r>
        <w:rPr>
          <w:b/>
          <w:bCs/>
        </w:rPr>
        <w:t>S2</w:t>
      </w:r>
      <w:r>
        <w:rPr>
          <w:b/>
          <w:bCs/>
        </w:rPr>
        <w:tab/>
      </w:r>
      <w:r>
        <w:rPr>
          <w:b/>
          <w:bCs/>
        </w:rPr>
        <w:tab/>
      </w:r>
      <w:r w:rsidR="00172DF6" w:rsidRPr="00172DF6">
        <w:t>probable</w:t>
      </w:r>
      <w:r w:rsidR="00172DF6">
        <w:rPr>
          <w:b/>
          <w:bCs/>
        </w:rPr>
        <w:t xml:space="preserve"> </w:t>
      </w:r>
      <w:r w:rsidRPr="00172DF6">
        <w:t>single source</w:t>
      </w:r>
    </w:p>
    <w:p w14:paraId="1CD61987" w14:textId="7A44D250" w:rsidR="00142638" w:rsidRDefault="00AD7035" w:rsidP="00215AC9">
      <w:pPr>
        <w:spacing w:line="240" w:lineRule="auto"/>
        <w:ind w:left="360"/>
        <w:jc w:val="both"/>
      </w:pPr>
      <w:r w:rsidRPr="00A9668B">
        <w:rPr>
          <w:b/>
          <w:bCs/>
        </w:rPr>
        <w:t>M</w:t>
      </w:r>
      <w:r w:rsidR="00142638" w:rsidRPr="00A9668B">
        <w:rPr>
          <w:b/>
          <w:bCs/>
        </w:rPr>
        <w:t>1a</w:t>
      </w:r>
      <w:r w:rsidR="00142638" w:rsidRPr="00A9668B">
        <w:tab/>
        <w:t xml:space="preserve">one of multiple sources, </w:t>
      </w:r>
      <w:r w:rsidR="00A9668B" w:rsidRPr="00A9668B">
        <w:t>both o</w:t>
      </w:r>
      <w:r w:rsidR="00142638" w:rsidRPr="00A9668B">
        <w:t>f which w</w:t>
      </w:r>
      <w:r w:rsidR="00A9668B" w:rsidRPr="00A9668B">
        <w:t>ere</w:t>
      </w:r>
      <w:r w:rsidR="00142638" w:rsidRPr="00A9668B">
        <w:t xml:space="preserve"> certainly used</w:t>
      </w:r>
    </w:p>
    <w:p w14:paraId="6B9D892E" w14:textId="5D5C04A7" w:rsidR="00AD7035" w:rsidRPr="00172DF6" w:rsidRDefault="00A9668B" w:rsidP="00172DF6">
      <w:pPr>
        <w:spacing w:line="240" w:lineRule="auto"/>
        <w:ind w:left="360"/>
        <w:jc w:val="both"/>
      </w:pPr>
      <w:r w:rsidRPr="00A9668B">
        <w:rPr>
          <w:b/>
          <w:bCs/>
        </w:rPr>
        <w:t>M2</w:t>
      </w:r>
      <w:r w:rsidR="00AD7035" w:rsidRPr="00A9668B">
        <w:rPr>
          <w:b/>
          <w:bCs/>
        </w:rPr>
        <w:t>o</w:t>
      </w:r>
      <w:r w:rsidR="00AD7035" w:rsidRPr="00A9668B">
        <w:t xml:space="preserve"> </w:t>
      </w:r>
      <w:r w:rsidRPr="00A9668B">
        <w:tab/>
        <w:t>one of multiple sources, one of which was probably used</w:t>
      </w:r>
    </w:p>
    <w:p w14:paraId="403EF667" w14:textId="77777777" w:rsidR="00953ED0" w:rsidRDefault="00953ED0" w:rsidP="00215AC9">
      <w:pPr>
        <w:spacing w:line="240" w:lineRule="auto"/>
        <w:ind w:left="360"/>
        <w:jc w:val="both"/>
      </w:pPr>
    </w:p>
    <w:p w14:paraId="1F79B28E" w14:textId="198E0CF4" w:rsidR="00953ED0" w:rsidRPr="00953ED0" w:rsidRDefault="00953ED0" w:rsidP="00215AC9">
      <w:pPr>
        <w:spacing w:line="240" w:lineRule="auto"/>
        <w:ind w:left="360"/>
        <w:jc w:val="both"/>
        <w:rPr>
          <w:b/>
          <w:bCs/>
        </w:rPr>
      </w:pPr>
      <w:r>
        <w:rPr>
          <w:b/>
          <w:bCs/>
        </w:rPr>
        <w:t xml:space="preserve">Further </w:t>
      </w:r>
      <w:r w:rsidRPr="00953ED0">
        <w:rPr>
          <w:b/>
          <w:bCs/>
        </w:rPr>
        <w:t>Text information</w:t>
      </w:r>
    </w:p>
    <w:p w14:paraId="663A48A8" w14:textId="4A7FAF6D" w:rsidR="00AD7035" w:rsidRPr="00F53FD7" w:rsidRDefault="00040780" w:rsidP="00215AC9">
      <w:pPr>
        <w:spacing w:line="240" w:lineRule="auto"/>
        <w:ind w:left="360"/>
        <w:jc w:val="both"/>
      </w:pPr>
      <w:r>
        <w:t>Additionally, o</w:t>
      </w:r>
      <w:r w:rsidR="00F53FD7" w:rsidRPr="00F53FD7">
        <w:t>n the screen</w:t>
      </w:r>
      <w:r>
        <w:t xml:space="preserve"> which gives the search results</w:t>
      </w:r>
      <w:r w:rsidR="00F53FD7" w:rsidRPr="00F53FD7">
        <w:t xml:space="preserve">, </w:t>
      </w:r>
      <w:r>
        <w:t xml:space="preserve">further </w:t>
      </w:r>
      <w:r w:rsidR="00F53FD7" w:rsidRPr="00F53FD7">
        <w:t xml:space="preserve">above the links to the source entries, two dark grey bars </w:t>
      </w:r>
      <w:r>
        <w:t xml:space="preserve">will be </w:t>
      </w:r>
      <w:r w:rsidR="00F53FD7">
        <w:t>visible:</w:t>
      </w:r>
    </w:p>
    <w:p w14:paraId="4F48AC89" w14:textId="77777777" w:rsidR="00F53FD7" w:rsidRPr="00AD7035" w:rsidRDefault="00F53FD7" w:rsidP="00215AC9">
      <w:pPr>
        <w:spacing w:line="240" w:lineRule="auto"/>
        <w:ind w:left="360"/>
        <w:jc w:val="both"/>
        <w:rPr>
          <w:b/>
          <w:bCs/>
        </w:rPr>
      </w:pPr>
    </w:p>
    <w:p w14:paraId="640BB079" w14:textId="21842B24" w:rsidR="00AD7035" w:rsidRDefault="00AD7035" w:rsidP="00215AC9">
      <w:pPr>
        <w:spacing w:line="240" w:lineRule="auto"/>
        <w:ind w:left="360"/>
        <w:jc w:val="both"/>
      </w:pPr>
      <w:r>
        <w:rPr>
          <w:noProof/>
        </w:rPr>
        <w:drawing>
          <wp:inline distT="0" distB="0" distL="0" distR="0" wp14:anchorId="44E8C588" wp14:editId="0EAF93FE">
            <wp:extent cx="5731510" cy="82296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822960"/>
                    </a:xfrm>
                    <a:prstGeom prst="rect">
                      <a:avLst/>
                    </a:prstGeom>
                    <a:noFill/>
                    <a:ln>
                      <a:noFill/>
                    </a:ln>
                  </pic:spPr>
                </pic:pic>
              </a:graphicData>
            </a:graphic>
          </wp:inline>
        </w:drawing>
      </w:r>
    </w:p>
    <w:p w14:paraId="0EBD0C69" w14:textId="71BD437D" w:rsidR="00AD7035" w:rsidRDefault="00AD7035" w:rsidP="00215AC9">
      <w:pPr>
        <w:spacing w:line="240" w:lineRule="auto"/>
        <w:ind w:left="360"/>
        <w:jc w:val="both"/>
      </w:pPr>
    </w:p>
    <w:p w14:paraId="04D30DAC" w14:textId="72218B9A" w:rsidR="00AD7035" w:rsidRDefault="00F53FD7" w:rsidP="00215AC9">
      <w:pPr>
        <w:spacing w:line="240" w:lineRule="auto"/>
        <w:ind w:left="360"/>
        <w:jc w:val="both"/>
      </w:pPr>
      <w:r>
        <w:t xml:space="preserve">These </w:t>
      </w:r>
      <w:r w:rsidRPr="00F53FD7">
        <w:t>lead to further information on the target text and source texts</w:t>
      </w:r>
      <w:r>
        <w:t xml:space="preserve"> (esp. edition used, secondary bibliography and transmission information) when they are </w:t>
      </w:r>
      <w:r w:rsidR="00ED299C">
        <w:t>expanded by clicking</w:t>
      </w:r>
      <w:r>
        <w:t>:</w:t>
      </w:r>
    </w:p>
    <w:p w14:paraId="74BC7649" w14:textId="77777777" w:rsidR="00F53FD7" w:rsidRDefault="00F53FD7" w:rsidP="00215AC9">
      <w:pPr>
        <w:spacing w:line="240" w:lineRule="auto"/>
        <w:ind w:left="360"/>
        <w:jc w:val="both"/>
      </w:pPr>
    </w:p>
    <w:p w14:paraId="479069AA" w14:textId="63A85B39" w:rsidR="00AD7035" w:rsidRDefault="00AD7035" w:rsidP="00215AC9">
      <w:pPr>
        <w:spacing w:line="240" w:lineRule="auto"/>
        <w:ind w:left="360"/>
        <w:jc w:val="both"/>
      </w:pPr>
      <w:r>
        <w:rPr>
          <w:noProof/>
        </w:rPr>
        <w:drawing>
          <wp:inline distT="0" distB="0" distL="0" distR="0" wp14:anchorId="765B5EB4" wp14:editId="2ADCBFF7">
            <wp:extent cx="5731510" cy="275018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750185"/>
                    </a:xfrm>
                    <a:prstGeom prst="rect">
                      <a:avLst/>
                    </a:prstGeom>
                    <a:noFill/>
                    <a:ln>
                      <a:noFill/>
                    </a:ln>
                  </pic:spPr>
                </pic:pic>
              </a:graphicData>
            </a:graphic>
          </wp:inline>
        </w:drawing>
      </w:r>
    </w:p>
    <w:p w14:paraId="654C7E74" w14:textId="77777777" w:rsidR="0092317A" w:rsidRDefault="0092317A" w:rsidP="00215AC9">
      <w:pPr>
        <w:pStyle w:val="ListParagraph"/>
        <w:spacing w:line="240" w:lineRule="auto"/>
      </w:pPr>
    </w:p>
    <w:p w14:paraId="33D37E22" w14:textId="77777777" w:rsidR="00953ED0" w:rsidRDefault="00953ED0" w:rsidP="00D47EF3">
      <w:pPr>
        <w:spacing w:line="240" w:lineRule="auto"/>
        <w:ind w:left="360"/>
        <w:jc w:val="both"/>
        <w:rPr>
          <w:b/>
          <w:bCs/>
        </w:rPr>
      </w:pPr>
    </w:p>
    <w:p w14:paraId="7222FB43" w14:textId="77777777" w:rsidR="00953ED0" w:rsidRDefault="00953ED0" w:rsidP="00D47EF3">
      <w:pPr>
        <w:spacing w:line="240" w:lineRule="auto"/>
        <w:ind w:left="360"/>
        <w:jc w:val="both"/>
        <w:rPr>
          <w:b/>
          <w:bCs/>
        </w:rPr>
      </w:pPr>
    </w:p>
    <w:p w14:paraId="12CB265E" w14:textId="77777777" w:rsidR="00953ED0" w:rsidRDefault="00953ED0" w:rsidP="00D47EF3">
      <w:pPr>
        <w:spacing w:line="240" w:lineRule="auto"/>
        <w:ind w:left="360"/>
        <w:jc w:val="both"/>
        <w:rPr>
          <w:b/>
          <w:bCs/>
        </w:rPr>
      </w:pPr>
    </w:p>
    <w:p w14:paraId="069D6BC6" w14:textId="77777777" w:rsidR="00953ED0" w:rsidRDefault="00953ED0" w:rsidP="00D47EF3">
      <w:pPr>
        <w:spacing w:line="240" w:lineRule="auto"/>
        <w:ind w:left="360"/>
        <w:jc w:val="both"/>
        <w:rPr>
          <w:b/>
          <w:bCs/>
        </w:rPr>
      </w:pPr>
    </w:p>
    <w:p w14:paraId="16577701" w14:textId="168BA749" w:rsidR="00D47EF3" w:rsidRDefault="00A343AB" w:rsidP="00D47EF3">
      <w:pPr>
        <w:spacing w:line="240" w:lineRule="auto"/>
        <w:ind w:left="360"/>
        <w:jc w:val="both"/>
      </w:pPr>
      <w:r w:rsidRPr="00AD7035">
        <w:rPr>
          <w:b/>
          <w:bCs/>
        </w:rPr>
        <w:lastRenderedPageBreak/>
        <w:t>Bibliography</w:t>
      </w:r>
      <w:r w:rsidR="00D47EF3" w:rsidRPr="00D47EF3">
        <w:t xml:space="preserve"> </w:t>
      </w:r>
    </w:p>
    <w:p w14:paraId="40129B74" w14:textId="3AB6EAB8" w:rsidR="00D47EF3" w:rsidRDefault="00D47EF3" w:rsidP="00D47EF3">
      <w:pPr>
        <w:spacing w:line="240" w:lineRule="auto"/>
        <w:ind w:left="360"/>
        <w:jc w:val="both"/>
      </w:pPr>
      <w:r>
        <w:t xml:space="preserve">On the first screen of the database, a button near the top of the screen leads to the bibliographies used in the database. </w:t>
      </w:r>
    </w:p>
    <w:p w14:paraId="7C811F9C" w14:textId="7A3E2ED4" w:rsidR="00D47EF3" w:rsidRDefault="00D47EF3" w:rsidP="00AD7035">
      <w:pPr>
        <w:spacing w:line="240" w:lineRule="auto"/>
        <w:ind w:left="360"/>
        <w:jc w:val="both"/>
      </w:pPr>
      <w:r>
        <w:rPr>
          <w:noProof/>
        </w:rPr>
        <w:drawing>
          <wp:inline distT="0" distB="0" distL="0" distR="0" wp14:anchorId="1933A459" wp14:editId="713A0165">
            <wp:extent cx="5731510" cy="810895"/>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810895"/>
                    </a:xfrm>
                    <a:prstGeom prst="rect">
                      <a:avLst/>
                    </a:prstGeom>
                    <a:noFill/>
                    <a:ln>
                      <a:noFill/>
                    </a:ln>
                  </pic:spPr>
                </pic:pic>
              </a:graphicData>
            </a:graphic>
          </wp:inline>
        </w:drawing>
      </w:r>
    </w:p>
    <w:p w14:paraId="7F89AC1A" w14:textId="77777777" w:rsidR="00953ED0" w:rsidRDefault="00953ED0" w:rsidP="00D47EF3">
      <w:pPr>
        <w:spacing w:line="240" w:lineRule="auto"/>
        <w:ind w:left="360"/>
        <w:jc w:val="both"/>
      </w:pPr>
    </w:p>
    <w:p w14:paraId="138D4FE0" w14:textId="603C2CA5" w:rsidR="00A343AB" w:rsidRDefault="00B720C5" w:rsidP="00D47EF3">
      <w:pPr>
        <w:spacing w:line="240" w:lineRule="auto"/>
        <w:ind w:left="360"/>
        <w:jc w:val="both"/>
      </w:pPr>
      <w:r>
        <w:t xml:space="preserve">This </w:t>
      </w:r>
      <w:r w:rsidR="00713743">
        <w:t xml:space="preserve">area </w:t>
      </w:r>
      <w:r>
        <w:t xml:space="preserve">gives full publication details for a variety of works cited in the database, </w:t>
      </w:r>
      <w:r w:rsidR="00D47EF3">
        <w:t>under the three categories of target, source and secondary:</w:t>
      </w:r>
    </w:p>
    <w:p w14:paraId="231F1274" w14:textId="77777777" w:rsidR="00D47EF3" w:rsidRDefault="00D47EF3" w:rsidP="00D47EF3">
      <w:pPr>
        <w:spacing w:line="240" w:lineRule="auto"/>
        <w:ind w:left="360"/>
        <w:jc w:val="both"/>
      </w:pPr>
    </w:p>
    <w:p w14:paraId="6E3C913B" w14:textId="132BF6DD" w:rsidR="00D47EF3" w:rsidRDefault="00D47EF3" w:rsidP="00AD7035">
      <w:pPr>
        <w:spacing w:line="240" w:lineRule="auto"/>
        <w:ind w:left="360"/>
        <w:jc w:val="both"/>
      </w:pPr>
      <w:r>
        <w:rPr>
          <w:noProof/>
        </w:rPr>
        <w:drawing>
          <wp:inline distT="0" distB="0" distL="0" distR="0" wp14:anchorId="10CD305F" wp14:editId="0C8631AA">
            <wp:extent cx="5095875" cy="723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95875" cy="723900"/>
                    </a:xfrm>
                    <a:prstGeom prst="rect">
                      <a:avLst/>
                    </a:prstGeom>
                    <a:noFill/>
                    <a:ln>
                      <a:noFill/>
                    </a:ln>
                  </pic:spPr>
                </pic:pic>
              </a:graphicData>
            </a:graphic>
          </wp:inline>
        </w:drawing>
      </w:r>
    </w:p>
    <w:p w14:paraId="5D541614" w14:textId="77777777" w:rsidR="00F708A6" w:rsidRDefault="00F708A6" w:rsidP="00713743">
      <w:pPr>
        <w:spacing w:line="240" w:lineRule="auto"/>
        <w:ind w:left="357"/>
        <w:jc w:val="both"/>
      </w:pPr>
    </w:p>
    <w:p w14:paraId="78C46792" w14:textId="07DDA6C9" w:rsidR="00B720C5" w:rsidRDefault="00713743" w:rsidP="00713743">
      <w:pPr>
        <w:spacing w:line="240" w:lineRule="auto"/>
        <w:ind w:left="357"/>
        <w:jc w:val="both"/>
      </w:pPr>
      <w:r>
        <w:t xml:space="preserve">Target: </w:t>
      </w:r>
      <w:r w:rsidR="00B720C5">
        <w:t xml:space="preserve">Editions of </w:t>
      </w:r>
      <w:r w:rsidR="009B0011">
        <w:t>target texts</w:t>
      </w:r>
      <w:r w:rsidR="00B720C5">
        <w:t xml:space="preserve">, e.g. Ælfric, </w:t>
      </w:r>
      <w:r w:rsidR="00B720C5" w:rsidRPr="009C0C7A">
        <w:rPr>
          <w:i/>
          <w:iCs/>
        </w:rPr>
        <w:t>Catholic homilies</w:t>
      </w:r>
      <w:r w:rsidR="00B720C5">
        <w:t xml:space="preserve"> 1.1, Clemoes 1997</w:t>
      </w:r>
    </w:p>
    <w:p w14:paraId="21C63743" w14:textId="71426784" w:rsidR="00B720C5" w:rsidRDefault="00713743" w:rsidP="009C0C7A">
      <w:pPr>
        <w:spacing w:line="240" w:lineRule="auto"/>
        <w:ind w:firstLine="360"/>
        <w:jc w:val="both"/>
      </w:pPr>
      <w:r>
        <w:t xml:space="preserve">Source: </w:t>
      </w:r>
      <w:r w:rsidR="00B720C5">
        <w:t xml:space="preserve">Editions of </w:t>
      </w:r>
      <w:r w:rsidR="009B0011">
        <w:t>s</w:t>
      </w:r>
      <w:r w:rsidR="00B720C5">
        <w:t xml:space="preserve">ource Texts, e.g. Vergil, </w:t>
      </w:r>
      <w:r w:rsidR="00B720C5" w:rsidRPr="009C0C7A">
        <w:rPr>
          <w:i/>
          <w:iCs/>
        </w:rPr>
        <w:t>Aeneid</w:t>
      </w:r>
      <w:r w:rsidR="00B720C5">
        <w:t>, Mynors 1969</w:t>
      </w:r>
    </w:p>
    <w:p w14:paraId="4C42DC7B" w14:textId="1BB54D6E" w:rsidR="00B720C5" w:rsidRDefault="00713743" w:rsidP="009C0C7A">
      <w:pPr>
        <w:spacing w:line="240" w:lineRule="auto"/>
        <w:ind w:firstLine="360"/>
        <w:jc w:val="both"/>
      </w:pPr>
      <w:r>
        <w:t xml:space="preserve">Secondary: </w:t>
      </w:r>
      <w:r w:rsidR="009B0011">
        <w:t>s</w:t>
      </w:r>
      <w:r w:rsidR="00B720C5">
        <w:t>ource studies, e.g. Turville-Petre 1963</w:t>
      </w:r>
    </w:p>
    <w:p w14:paraId="7C85D9EC" w14:textId="41E0F8DD" w:rsidR="00B720C5" w:rsidRDefault="00A46D55" w:rsidP="009B0011">
      <w:pPr>
        <w:spacing w:line="240" w:lineRule="auto"/>
        <w:ind w:left="360"/>
        <w:jc w:val="both"/>
      </w:pPr>
      <w:r>
        <w:t xml:space="preserve">At the end of the Source Bibliography, users can also find </w:t>
      </w:r>
      <w:r w:rsidR="00B720C5">
        <w:t xml:space="preserve">a list of </w:t>
      </w:r>
      <w:r w:rsidR="009B0011">
        <w:t>a</w:t>
      </w:r>
      <w:r w:rsidR="00B720C5">
        <w:t xml:space="preserve">bbreviations used, mainly for series such as PL (= Patrologia Latina) or journals such as LSE (= </w:t>
      </w:r>
      <w:r w:rsidR="00B720C5" w:rsidRPr="00B720C5">
        <w:rPr>
          <w:i/>
          <w:iCs/>
        </w:rPr>
        <w:t>Leeds Studies in English</w:t>
      </w:r>
      <w:r w:rsidR="00B720C5">
        <w:t xml:space="preserve">). </w:t>
      </w:r>
    </w:p>
    <w:p w14:paraId="59CA36BE" w14:textId="26131004" w:rsidR="009C0C7A" w:rsidRDefault="009C0C7A" w:rsidP="009B0011">
      <w:pPr>
        <w:spacing w:line="240" w:lineRule="auto"/>
        <w:ind w:left="360"/>
        <w:jc w:val="both"/>
      </w:pPr>
      <w:r>
        <w:t xml:space="preserve">The Bibliography includes under </w:t>
      </w:r>
      <w:r w:rsidR="009B0011">
        <w:t>Secondary</w:t>
      </w:r>
      <w:r>
        <w:t xml:space="preserve"> not only the expected modern critical studies which are cited within the database, but also some editions of </w:t>
      </w:r>
      <w:r w:rsidR="009B0011">
        <w:t>texts</w:t>
      </w:r>
      <w:r>
        <w:t xml:space="preserve"> which have been cited because they include significant discussions of sources, and some alternative editions of </w:t>
      </w:r>
      <w:r w:rsidR="009B0011">
        <w:t>s</w:t>
      </w:r>
      <w:r>
        <w:t>ource Texts because they include significant variant versions which have been cited in the database. Thus Scragg 1992 may be listed as the specified edition of a</w:t>
      </w:r>
      <w:r w:rsidR="009B0011">
        <w:t xml:space="preserve"> target</w:t>
      </w:r>
      <w:r>
        <w:t xml:space="preserve"> Text (the Vercelli Homilies) and as the specified edition of certain source</w:t>
      </w:r>
      <w:r w:rsidR="00A46D55">
        <w:t xml:space="preserve"> </w:t>
      </w:r>
      <w:r>
        <w:t xml:space="preserve">texts which are only accessible in his apparatus or commentary, but also as a </w:t>
      </w:r>
      <w:r w:rsidR="009B0011">
        <w:t>s</w:t>
      </w:r>
      <w:r>
        <w:t xml:space="preserve">ource </w:t>
      </w:r>
      <w:r w:rsidR="009B0011">
        <w:t>s</w:t>
      </w:r>
      <w:r>
        <w:t xml:space="preserve">tudy for the identification of particular sources. Fabricius 1719 is listed as the specified edition of certain source texts, but also appears under </w:t>
      </w:r>
      <w:r w:rsidR="009B0011">
        <w:t>s</w:t>
      </w:r>
      <w:r>
        <w:t xml:space="preserve">ource </w:t>
      </w:r>
      <w:r w:rsidR="009B0011">
        <w:t>s</w:t>
      </w:r>
      <w:r>
        <w:t xml:space="preserve">tudies when it is cited for its variant versions of other source texts. </w:t>
      </w:r>
    </w:p>
    <w:p w14:paraId="2F61D65E" w14:textId="77777777" w:rsidR="000565C4" w:rsidRDefault="000565C4" w:rsidP="009B0011">
      <w:pPr>
        <w:spacing w:line="240" w:lineRule="auto"/>
        <w:ind w:firstLine="360"/>
        <w:jc w:val="both"/>
        <w:rPr>
          <w:b/>
          <w:bCs/>
        </w:rPr>
      </w:pPr>
    </w:p>
    <w:p w14:paraId="0A2D7394" w14:textId="77777777" w:rsidR="00953ED0" w:rsidRDefault="00953ED0" w:rsidP="009B0011">
      <w:pPr>
        <w:spacing w:line="240" w:lineRule="auto"/>
        <w:ind w:firstLine="360"/>
        <w:jc w:val="both"/>
        <w:rPr>
          <w:b/>
          <w:bCs/>
        </w:rPr>
      </w:pPr>
    </w:p>
    <w:p w14:paraId="7EFA2A75" w14:textId="77777777" w:rsidR="00953ED0" w:rsidRDefault="00953ED0" w:rsidP="009B0011">
      <w:pPr>
        <w:spacing w:line="240" w:lineRule="auto"/>
        <w:ind w:firstLine="360"/>
        <w:jc w:val="both"/>
        <w:rPr>
          <w:b/>
          <w:bCs/>
        </w:rPr>
      </w:pPr>
    </w:p>
    <w:p w14:paraId="34A04D2A" w14:textId="77777777" w:rsidR="00953ED0" w:rsidRDefault="00953ED0" w:rsidP="009B0011">
      <w:pPr>
        <w:spacing w:line="240" w:lineRule="auto"/>
        <w:ind w:firstLine="360"/>
        <w:jc w:val="both"/>
        <w:rPr>
          <w:b/>
          <w:bCs/>
        </w:rPr>
      </w:pPr>
    </w:p>
    <w:p w14:paraId="629240C8" w14:textId="77777777" w:rsidR="00953ED0" w:rsidRDefault="00953ED0" w:rsidP="009B0011">
      <w:pPr>
        <w:spacing w:line="240" w:lineRule="auto"/>
        <w:ind w:firstLine="360"/>
        <w:jc w:val="both"/>
        <w:rPr>
          <w:b/>
          <w:bCs/>
        </w:rPr>
      </w:pPr>
    </w:p>
    <w:p w14:paraId="2BF928C2" w14:textId="04BD05C0" w:rsidR="00AD7035" w:rsidRDefault="00AD7035" w:rsidP="009B0011">
      <w:pPr>
        <w:spacing w:line="240" w:lineRule="auto"/>
        <w:ind w:firstLine="360"/>
        <w:jc w:val="both"/>
        <w:rPr>
          <w:b/>
          <w:bCs/>
        </w:rPr>
      </w:pPr>
      <w:r w:rsidRPr="00AD7035">
        <w:rPr>
          <w:b/>
          <w:bCs/>
        </w:rPr>
        <w:lastRenderedPageBreak/>
        <w:t>Pinned Entries</w:t>
      </w:r>
    </w:p>
    <w:p w14:paraId="1A5C5BC0" w14:textId="77777777" w:rsidR="00E331C1" w:rsidRDefault="00E331C1" w:rsidP="00425CF3">
      <w:pPr>
        <w:pStyle w:val="NormalWeb"/>
        <w:ind w:left="360"/>
        <w:jc w:val="both"/>
        <w:rPr>
          <w:rFonts w:asciiTheme="minorHAnsi" w:hAnsiTheme="minorHAnsi" w:cstheme="minorHAnsi"/>
        </w:rPr>
      </w:pPr>
      <w:r w:rsidRPr="00E331C1">
        <w:rPr>
          <w:rFonts w:asciiTheme="minorHAnsi" w:hAnsiTheme="minorHAnsi" w:cstheme="minorHAnsi"/>
        </w:rPr>
        <w:t>Pinn</w:t>
      </w:r>
      <w:r>
        <w:rPr>
          <w:rFonts w:asciiTheme="minorHAnsi" w:hAnsiTheme="minorHAnsi" w:cstheme="minorHAnsi"/>
        </w:rPr>
        <w:t>ing</w:t>
      </w:r>
      <w:r w:rsidRPr="00E331C1">
        <w:rPr>
          <w:rFonts w:asciiTheme="minorHAnsi" w:hAnsiTheme="minorHAnsi" w:cstheme="minorHAnsi"/>
        </w:rPr>
        <w:t xml:space="preserve"> entries </w:t>
      </w:r>
      <w:r>
        <w:rPr>
          <w:rFonts w:asciiTheme="minorHAnsi" w:hAnsiTheme="minorHAnsi" w:cstheme="minorHAnsi"/>
        </w:rPr>
        <w:t xml:space="preserve">is </w:t>
      </w:r>
      <w:r w:rsidRPr="00E331C1">
        <w:rPr>
          <w:rFonts w:asciiTheme="minorHAnsi" w:hAnsiTheme="minorHAnsi" w:cstheme="minorHAnsi"/>
        </w:rPr>
        <w:t xml:space="preserve">a way of storing the entries </w:t>
      </w:r>
      <w:r>
        <w:rPr>
          <w:rFonts w:asciiTheme="minorHAnsi" w:hAnsiTheme="minorHAnsi" w:cstheme="minorHAnsi"/>
        </w:rPr>
        <w:t xml:space="preserve">a user is </w:t>
      </w:r>
      <w:r w:rsidRPr="00E331C1">
        <w:rPr>
          <w:rFonts w:asciiTheme="minorHAnsi" w:hAnsiTheme="minorHAnsi" w:cstheme="minorHAnsi"/>
        </w:rPr>
        <w:t>interested in</w:t>
      </w:r>
      <w:r>
        <w:rPr>
          <w:rFonts w:asciiTheme="minorHAnsi" w:hAnsiTheme="minorHAnsi" w:cstheme="minorHAnsi"/>
        </w:rPr>
        <w:t>, as if on a clipboard</w:t>
      </w:r>
      <w:r w:rsidRPr="00E331C1">
        <w:rPr>
          <w:rFonts w:asciiTheme="minorHAnsi" w:hAnsiTheme="minorHAnsi" w:cstheme="minorHAnsi"/>
        </w:rPr>
        <w:t xml:space="preserve">. These entries can be from </w:t>
      </w:r>
      <w:r>
        <w:rPr>
          <w:rFonts w:asciiTheme="minorHAnsi" w:hAnsiTheme="minorHAnsi" w:cstheme="minorHAnsi"/>
        </w:rPr>
        <w:t>multiple</w:t>
      </w:r>
      <w:r w:rsidRPr="00E331C1">
        <w:rPr>
          <w:rFonts w:asciiTheme="minorHAnsi" w:hAnsiTheme="minorHAnsi" w:cstheme="minorHAnsi"/>
        </w:rPr>
        <w:t xml:space="preserve"> searches</w:t>
      </w:r>
      <w:r>
        <w:rPr>
          <w:rFonts w:asciiTheme="minorHAnsi" w:hAnsiTheme="minorHAnsi" w:cstheme="minorHAnsi"/>
        </w:rPr>
        <w:t xml:space="preserve"> and visits to the database</w:t>
      </w:r>
      <w:r w:rsidRPr="00E331C1">
        <w:rPr>
          <w:rFonts w:asciiTheme="minorHAnsi" w:hAnsiTheme="minorHAnsi" w:cstheme="minorHAnsi"/>
        </w:rPr>
        <w:t xml:space="preserve">. </w:t>
      </w:r>
    </w:p>
    <w:p w14:paraId="0668FBB0" w14:textId="77777777" w:rsidR="00E331C1" w:rsidRDefault="00E331C1" w:rsidP="00E331C1">
      <w:pPr>
        <w:pStyle w:val="NormalWeb"/>
        <w:ind w:left="360"/>
        <w:rPr>
          <w:rFonts w:asciiTheme="minorHAnsi" w:hAnsiTheme="minorHAnsi" w:cstheme="minorHAnsi"/>
        </w:rPr>
      </w:pPr>
      <w:r>
        <w:rPr>
          <w:rFonts w:asciiTheme="minorHAnsi" w:hAnsiTheme="minorHAnsi" w:cstheme="minorHAnsi"/>
        </w:rPr>
        <w:t xml:space="preserve">Each source entry will have a </w:t>
      </w:r>
      <w:r w:rsidRPr="00E331C1">
        <w:rPr>
          <w:rFonts w:asciiTheme="minorHAnsi" w:hAnsiTheme="minorHAnsi" w:cstheme="minorHAnsi"/>
        </w:rPr>
        <w:t xml:space="preserve">pin icon </w:t>
      </w:r>
      <w:r>
        <w:rPr>
          <w:rFonts w:asciiTheme="minorHAnsi" w:hAnsiTheme="minorHAnsi" w:cstheme="minorHAnsi"/>
        </w:rPr>
        <w:t xml:space="preserve">towards the </w:t>
      </w:r>
      <w:r w:rsidRPr="00E331C1">
        <w:rPr>
          <w:rFonts w:asciiTheme="minorHAnsi" w:hAnsiTheme="minorHAnsi" w:cstheme="minorHAnsi"/>
        </w:rPr>
        <w:t xml:space="preserve">left of </w:t>
      </w:r>
      <w:r>
        <w:rPr>
          <w:rFonts w:asciiTheme="minorHAnsi" w:hAnsiTheme="minorHAnsi" w:cstheme="minorHAnsi"/>
        </w:rPr>
        <w:t>the screen</w:t>
      </w:r>
      <w:r w:rsidRPr="00E331C1">
        <w:rPr>
          <w:rFonts w:asciiTheme="minorHAnsi" w:hAnsiTheme="minorHAnsi" w:cstheme="minorHAnsi"/>
        </w:rPr>
        <w:t xml:space="preserve">. </w:t>
      </w:r>
    </w:p>
    <w:p w14:paraId="14D9A2CD" w14:textId="4BC4651C" w:rsidR="00E331C1" w:rsidRDefault="00927A4D" w:rsidP="00E331C1">
      <w:pPr>
        <w:pStyle w:val="NormalWeb"/>
        <w:ind w:left="360"/>
        <w:rPr>
          <w:rFonts w:asciiTheme="minorHAnsi" w:hAnsiTheme="minorHAnsi" w:cstheme="minorHAnsi"/>
        </w:rPr>
      </w:pPr>
      <w:r>
        <w:rPr>
          <w:noProof/>
        </w:rPr>
        <w:drawing>
          <wp:inline distT="0" distB="0" distL="0" distR="0" wp14:anchorId="282BBD2A" wp14:editId="308AFB80">
            <wp:extent cx="5731510" cy="49593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95935"/>
                    </a:xfrm>
                    <a:prstGeom prst="rect">
                      <a:avLst/>
                    </a:prstGeom>
                    <a:noFill/>
                    <a:ln>
                      <a:noFill/>
                    </a:ln>
                  </pic:spPr>
                </pic:pic>
              </a:graphicData>
            </a:graphic>
          </wp:inline>
        </w:drawing>
      </w:r>
    </w:p>
    <w:p w14:paraId="6078E5DB" w14:textId="4EE99BCF" w:rsidR="00E331C1" w:rsidRPr="00E331C1" w:rsidRDefault="00E331C1" w:rsidP="00425CF3">
      <w:pPr>
        <w:pStyle w:val="NormalWeb"/>
        <w:ind w:left="360"/>
        <w:jc w:val="both"/>
        <w:rPr>
          <w:rFonts w:asciiTheme="minorHAnsi" w:hAnsiTheme="minorHAnsi" w:cstheme="minorHAnsi"/>
        </w:rPr>
      </w:pPr>
      <w:r w:rsidRPr="00E331C1">
        <w:rPr>
          <w:rFonts w:asciiTheme="minorHAnsi" w:hAnsiTheme="minorHAnsi" w:cstheme="minorHAnsi"/>
        </w:rPr>
        <w:t xml:space="preserve">If </w:t>
      </w:r>
      <w:r w:rsidR="00F708A6">
        <w:rPr>
          <w:rFonts w:asciiTheme="minorHAnsi" w:hAnsiTheme="minorHAnsi" w:cstheme="minorHAnsi"/>
        </w:rPr>
        <w:t>users</w:t>
      </w:r>
      <w:r w:rsidRPr="00E331C1">
        <w:rPr>
          <w:rFonts w:asciiTheme="minorHAnsi" w:hAnsiTheme="minorHAnsi" w:cstheme="minorHAnsi"/>
        </w:rPr>
        <w:t xml:space="preserve"> click on the icon, the icon will fill in </w:t>
      </w:r>
      <w:r w:rsidR="00425CF3">
        <w:rPr>
          <w:rFonts w:asciiTheme="minorHAnsi" w:hAnsiTheme="minorHAnsi" w:cstheme="minorHAnsi"/>
        </w:rPr>
        <w:t xml:space="preserve">white </w:t>
      </w:r>
      <w:r w:rsidRPr="00E331C1">
        <w:rPr>
          <w:rFonts w:asciiTheme="minorHAnsi" w:hAnsiTheme="minorHAnsi" w:cstheme="minorHAnsi"/>
        </w:rPr>
        <w:t>and the entry will be</w:t>
      </w:r>
      <w:r w:rsidR="00425CF3">
        <w:rPr>
          <w:rFonts w:asciiTheme="minorHAnsi" w:hAnsiTheme="minorHAnsi" w:cstheme="minorHAnsi"/>
        </w:rPr>
        <w:t xml:space="preserve"> pinned, that is,</w:t>
      </w:r>
      <w:r w:rsidRPr="00E331C1">
        <w:rPr>
          <w:rFonts w:asciiTheme="minorHAnsi" w:hAnsiTheme="minorHAnsi" w:cstheme="minorHAnsi"/>
        </w:rPr>
        <w:t xml:space="preserve"> </w:t>
      </w:r>
      <w:r w:rsidR="00425CF3">
        <w:rPr>
          <w:rFonts w:asciiTheme="minorHAnsi" w:hAnsiTheme="minorHAnsi" w:cstheme="minorHAnsi"/>
        </w:rPr>
        <w:t>copied to the ‘clipboard’</w:t>
      </w:r>
      <w:r w:rsidRPr="00E331C1">
        <w:rPr>
          <w:rFonts w:asciiTheme="minorHAnsi" w:hAnsiTheme="minorHAnsi" w:cstheme="minorHAnsi"/>
        </w:rPr>
        <w:t>.</w:t>
      </w:r>
    </w:p>
    <w:p w14:paraId="0B5DEA1C" w14:textId="10595724" w:rsidR="00425CF3" w:rsidRDefault="00E331C1" w:rsidP="00425CF3">
      <w:pPr>
        <w:pStyle w:val="NormalWeb"/>
        <w:ind w:left="360"/>
        <w:jc w:val="both"/>
        <w:rPr>
          <w:rFonts w:asciiTheme="minorHAnsi" w:hAnsiTheme="minorHAnsi" w:cstheme="minorHAnsi"/>
        </w:rPr>
      </w:pPr>
      <w:r w:rsidRPr="00E331C1">
        <w:rPr>
          <w:rFonts w:asciiTheme="minorHAnsi" w:hAnsiTheme="minorHAnsi" w:cstheme="minorHAnsi"/>
        </w:rPr>
        <w:t xml:space="preserve">Once entries have been pinned, </w:t>
      </w:r>
      <w:r w:rsidR="00425CF3">
        <w:rPr>
          <w:rFonts w:asciiTheme="minorHAnsi" w:hAnsiTheme="minorHAnsi" w:cstheme="minorHAnsi"/>
        </w:rPr>
        <w:t>users</w:t>
      </w:r>
      <w:r w:rsidRPr="00E331C1">
        <w:rPr>
          <w:rFonts w:asciiTheme="minorHAnsi" w:hAnsiTheme="minorHAnsi" w:cstheme="minorHAnsi"/>
        </w:rPr>
        <w:t xml:space="preserve"> can find them in the pinned entries page via the navigation bar</w:t>
      </w:r>
      <w:r w:rsidR="00F708A6">
        <w:rPr>
          <w:rFonts w:asciiTheme="minorHAnsi" w:hAnsiTheme="minorHAnsi" w:cstheme="minorHAnsi"/>
        </w:rPr>
        <w:t>:</w:t>
      </w:r>
      <w:r w:rsidRPr="00E331C1">
        <w:rPr>
          <w:rFonts w:asciiTheme="minorHAnsi" w:hAnsiTheme="minorHAnsi" w:cstheme="minorHAnsi"/>
        </w:rPr>
        <w:t xml:space="preserve"> </w:t>
      </w:r>
    </w:p>
    <w:p w14:paraId="4D777DF0" w14:textId="33B52296" w:rsidR="00425CF3" w:rsidRDefault="00425CF3" w:rsidP="00425CF3">
      <w:pPr>
        <w:pStyle w:val="NormalWeb"/>
        <w:ind w:left="360"/>
        <w:jc w:val="both"/>
        <w:rPr>
          <w:rFonts w:asciiTheme="minorHAnsi" w:hAnsiTheme="minorHAnsi" w:cstheme="minorHAnsi"/>
        </w:rPr>
      </w:pPr>
      <w:r>
        <w:rPr>
          <w:noProof/>
        </w:rPr>
        <w:drawing>
          <wp:inline distT="0" distB="0" distL="0" distR="0" wp14:anchorId="5D97699A" wp14:editId="4FD6BA4B">
            <wp:extent cx="5731510" cy="417195"/>
            <wp:effectExtent l="0" t="0" r="254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417195"/>
                    </a:xfrm>
                    <a:prstGeom prst="rect">
                      <a:avLst/>
                    </a:prstGeom>
                    <a:noFill/>
                    <a:ln>
                      <a:noFill/>
                    </a:ln>
                  </pic:spPr>
                </pic:pic>
              </a:graphicData>
            </a:graphic>
          </wp:inline>
        </w:drawing>
      </w:r>
    </w:p>
    <w:p w14:paraId="0E032A1A" w14:textId="1E88D853" w:rsidR="00425CF3" w:rsidRDefault="00425CF3" w:rsidP="00425CF3">
      <w:pPr>
        <w:pStyle w:val="NormalWeb"/>
        <w:ind w:left="360"/>
        <w:jc w:val="both"/>
        <w:rPr>
          <w:rFonts w:asciiTheme="minorHAnsi" w:hAnsiTheme="minorHAnsi" w:cstheme="minorHAnsi"/>
        </w:rPr>
      </w:pPr>
      <w:r>
        <w:rPr>
          <w:rFonts w:asciiTheme="minorHAnsi" w:hAnsiTheme="minorHAnsi" w:cstheme="minorHAnsi"/>
        </w:rPr>
        <w:t>On opening the area for pinned entries, users will then find all entries which they had designated as pinned during their searches:</w:t>
      </w:r>
    </w:p>
    <w:p w14:paraId="15DD6389" w14:textId="143E059F" w:rsidR="00425CF3" w:rsidRDefault="00425CF3" w:rsidP="00425CF3">
      <w:pPr>
        <w:pStyle w:val="NormalWeb"/>
        <w:ind w:left="360"/>
        <w:jc w:val="both"/>
        <w:rPr>
          <w:rFonts w:asciiTheme="minorHAnsi" w:hAnsiTheme="minorHAnsi" w:cstheme="minorHAnsi"/>
        </w:rPr>
      </w:pPr>
      <w:r>
        <w:rPr>
          <w:noProof/>
        </w:rPr>
        <w:drawing>
          <wp:inline distT="0" distB="0" distL="0" distR="0" wp14:anchorId="0F2450E1" wp14:editId="72006560">
            <wp:extent cx="5362575" cy="1562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62575" cy="1562100"/>
                    </a:xfrm>
                    <a:prstGeom prst="rect">
                      <a:avLst/>
                    </a:prstGeom>
                    <a:noFill/>
                    <a:ln>
                      <a:noFill/>
                    </a:ln>
                  </pic:spPr>
                </pic:pic>
              </a:graphicData>
            </a:graphic>
          </wp:inline>
        </w:drawing>
      </w:r>
    </w:p>
    <w:p w14:paraId="5BB7CF3D" w14:textId="77777777" w:rsidR="00425CF3" w:rsidRDefault="00425CF3" w:rsidP="00425CF3">
      <w:pPr>
        <w:pStyle w:val="NormalWeb"/>
        <w:ind w:left="360"/>
        <w:jc w:val="both"/>
        <w:rPr>
          <w:rFonts w:asciiTheme="minorHAnsi" w:hAnsiTheme="minorHAnsi" w:cstheme="minorHAnsi"/>
        </w:rPr>
      </w:pPr>
    </w:p>
    <w:p w14:paraId="2DED0A27" w14:textId="7418A7C2" w:rsidR="00425CF3" w:rsidRDefault="00425CF3" w:rsidP="00F708A6">
      <w:pPr>
        <w:pStyle w:val="NormalWeb"/>
        <w:ind w:left="360"/>
        <w:jc w:val="both"/>
        <w:rPr>
          <w:rFonts w:asciiTheme="minorHAnsi" w:hAnsiTheme="minorHAnsi" w:cstheme="minorHAnsi"/>
        </w:rPr>
      </w:pPr>
      <w:r>
        <w:rPr>
          <w:rFonts w:asciiTheme="minorHAnsi" w:hAnsiTheme="minorHAnsi" w:cstheme="minorHAnsi"/>
        </w:rPr>
        <w:t>T</w:t>
      </w:r>
      <w:r w:rsidR="00E331C1" w:rsidRPr="00E331C1">
        <w:rPr>
          <w:rFonts w:asciiTheme="minorHAnsi" w:hAnsiTheme="minorHAnsi" w:cstheme="minorHAnsi"/>
        </w:rPr>
        <w:t xml:space="preserve">he standard print and download records functions are available here so </w:t>
      </w:r>
      <w:r>
        <w:rPr>
          <w:rFonts w:asciiTheme="minorHAnsi" w:hAnsiTheme="minorHAnsi" w:cstheme="minorHAnsi"/>
        </w:rPr>
        <w:t xml:space="preserve">that users are able to </w:t>
      </w:r>
      <w:r w:rsidR="00E331C1" w:rsidRPr="00E331C1">
        <w:rPr>
          <w:rFonts w:asciiTheme="minorHAnsi" w:hAnsiTheme="minorHAnsi" w:cstheme="minorHAnsi"/>
        </w:rPr>
        <w:t>print</w:t>
      </w:r>
      <w:r>
        <w:rPr>
          <w:rFonts w:asciiTheme="minorHAnsi" w:hAnsiTheme="minorHAnsi" w:cstheme="minorHAnsi"/>
        </w:rPr>
        <w:t xml:space="preserve"> or </w:t>
      </w:r>
      <w:r w:rsidR="00E331C1" w:rsidRPr="00E331C1">
        <w:rPr>
          <w:rFonts w:asciiTheme="minorHAnsi" w:hAnsiTheme="minorHAnsi" w:cstheme="minorHAnsi"/>
        </w:rPr>
        <w:t xml:space="preserve">download </w:t>
      </w:r>
      <w:r>
        <w:rPr>
          <w:rFonts w:asciiTheme="minorHAnsi" w:hAnsiTheme="minorHAnsi" w:cstheme="minorHAnsi"/>
        </w:rPr>
        <w:t xml:space="preserve">specific </w:t>
      </w:r>
      <w:r w:rsidR="00E331C1" w:rsidRPr="00E331C1">
        <w:rPr>
          <w:rFonts w:asciiTheme="minorHAnsi" w:hAnsiTheme="minorHAnsi" w:cstheme="minorHAnsi"/>
        </w:rPr>
        <w:t xml:space="preserve">records </w:t>
      </w:r>
      <w:r>
        <w:rPr>
          <w:rFonts w:asciiTheme="minorHAnsi" w:hAnsiTheme="minorHAnsi" w:cstheme="minorHAnsi"/>
        </w:rPr>
        <w:t>of interest</w:t>
      </w:r>
      <w:r w:rsidR="00F708A6">
        <w:rPr>
          <w:rFonts w:asciiTheme="minorHAnsi" w:hAnsiTheme="minorHAnsi" w:cstheme="minorHAnsi"/>
        </w:rPr>
        <w:t>:</w:t>
      </w:r>
    </w:p>
    <w:p w14:paraId="468BE7C5" w14:textId="70E8ADF1" w:rsidR="00F708A6" w:rsidRDefault="00F708A6" w:rsidP="00F708A6">
      <w:pPr>
        <w:pStyle w:val="NormalWeb"/>
        <w:ind w:left="360"/>
        <w:jc w:val="both"/>
        <w:rPr>
          <w:rFonts w:asciiTheme="minorHAnsi" w:hAnsiTheme="minorHAnsi" w:cstheme="minorHAnsi"/>
        </w:rPr>
      </w:pPr>
      <w:r>
        <w:rPr>
          <w:noProof/>
        </w:rPr>
        <w:drawing>
          <wp:inline distT="0" distB="0" distL="0" distR="0" wp14:anchorId="4ED61D99" wp14:editId="0D45D08C">
            <wp:extent cx="1676400" cy="1390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6400" cy="1390650"/>
                    </a:xfrm>
                    <a:prstGeom prst="rect">
                      <a:avLst/>
                    </a:prstGeom>
                    <a:noFill/>
                    <a:ln>
                      <a:noFill/>
                    </a:ln>
                  </pic:spPr>
                </pic:pic>
              </a:graphicData>
            </a:graphic>
          </wp:inline>
        </w:drawing>
      </w:r>
    </w:p>
    <w:p w14:paraId="1916F3B4" w14:textId="34D0686B" w:rsidR="00E331C1" w:rsidRDefault="00180BD0" w:rsidP="00425CF3">
      <w:pPr>
        <w:pStyle w:val="NormalWeb"/>
        <w:ind w:left="360"/>
        <w:jc w:val="both"/>
        <w:rPr>
          <w:rFonts w:asciiTheme="minorHAnsi" w:hAnsiTheme="minorHAnsi" w:cstheme="minorHAnsi"/>
        </w:rPr>
      </w:pPr>
      <w:r>
        <w:rPr>
          <w:rFonts w:asciiTheme="minorHAnsi" w:hAnsiTheme="minorHAnsi" w:cstheme="minorHAnsi"/>
        </w:rPr>
        <w:lastRenderedPageBreak/>
        <w:t xml:space="preserve">In order to </w:t>
      </w:r>
      <w:r w:rsidR="00E331C1" w:rsidRPr="00E331C1">
        <w:rPr>
          <w:rFonts w:asciiTheme="minorHAnsi" w:hAnsiTheme="minorHAnsi" w:cstheme="minorHAnsi"/>
        </w:rPr>
        <w:t xml:space="preserve">unpin </w:t>
      </w:r>
      <w:r>
        <w:rPr>
          <w:rFonts w:asciiTheme="minorHAnsi" w:hAnsiTheme="minorHAnsi" w:cstheme="minorHAnsi"/>
        </w:rPr>
        <w:t>entries</w:t>
      </w:r>
      <w:r w:rsidR="00E331C1" w:rsidRPr="00E331C1">
        <w:rPr>
          <w:rFonts w:asciiTheme="minorHAnsi" w:hAnsiTheme="minorHAnsi" w:cstheme="minorHAnsi"/>
        </w:rPr>
        <w:t xml:space="preserve">, </w:t>
      </w:r>
      <w:r>
        <w:rPr>
          <w:rFonts w:asciiTheme="minorHAnsi" w:hAnsiTheme="minorHAnsi" w:cstheme="minorHAnsi"/>
        </w:rPr>
        <w:t xml:space="preserve">users can open the entry in the pinned area and click on the pin icon again to remove it. Alternatively, they can return to the main part of the database, find the relevant entry and </w:t>
      </w:r>
      <w:r w:rsidR="00E331C1" w:rsidRPr="00E331C1">
        <w:rPr>
          <w:rFonts w:asciiTheme="minorHAnsi" w:hAnsiTheme="minorHAnsi" w:cstheme="minorHAnsi"/>
        </w:rPr>
        <w:t xml:space="preserve">unpin </w:t>
      </w:r>
      <w:r>
        <w:rPr>
          <w:rFonts w:asciiTheme="minorHAnsi" w:hAnsiTheme="minorHAnsi" w:cstheme="minorHAnsi"/>
        </w:rPr>
        <w:t>it there</w:t>
      </w:r>
      <w:r w:rsidR="00E331C1" w:rsidRPr="00E331C1">
        <w:rPr>
          <w:rFonts w:asciiTheme="minorHAnsi" w:hAnsiTheme="minorHAnsi" w:cstheme="minorHAnsi"/>
        </w:rPr>
        <w:t>.</w:t>
      </w:r>
    </w:p>
    <w:p w14:paraId="3A4294FB" w14:textId="221E0B36" w:rsidR="000D69A9" w:rsidRPr="00E331C1" w:rsidRDefault="000D69A9" w:rsidP="00425CF3">
      <w:pPr>
        <w:pStyle w:val="NormalWeb"/>
        <w:ind w:left="360"/>
        <w:jc w:val="both"/>
        <w:rPr>
          <w:rFonts w:asciiTheme="minorHAnsi" w:hAnsiTheme="minorHAnsi" w:cstheme="minorHAnsi"/>
        </w:rPr>
      </w:pPr>
      <w:r>
        <w:rPr>
          <w:noProof/>
        </w:rPr>
        <w:drawing>
          <wp:inline distT="0" distB="0" distL="0" distR="0" wp14:anchorId="42FCEE46" wp14:editId="62D82731">
            <wp:extent cx="5731510" cy="179514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1795145"/>
                    </a:xfrm>
                    <a:prstGeom prst="rect">
                      <a:avLst/>
                    </a:prstGeom>
                    <a:noFill/>
                    <a:ln>
                      <a:noFill/>
                    </a:ln>
                  </pic:spPr>
                </pic:pic>
              </a:graphicData>
            </a:graphic>
          </wp:inline>
        </w:drawing>
      </w:r>
    </w:p>
    <w:p w14:paraId="0B645DEC" w14:textId="77777777" w:rsidR="00EA384B" w:rsidRDefault="00EA384B" w:rsidP="00425CF3">
      <w:pPr>
        <w:pStyle w:val="NormalWeb"/>
        <w:ind w:left="360"/>
        <w:jc w:val="both"/>
        <w:rPr>
          <w:rFonts w:asciiTheme="minorHAnsi" w:hAnsiTheme="minorHAnsi" w:cstheme="minorHAnsi"/>
        </w:rPr>
      </w:pPr>
    </w:p>
    <w:p w14:paraId="208FFE82" w14:textId="55111520" w:rsidR="00E331C1" w:rsidRPr="00E331C1" w:rsidRDefault="00E331C1" w:rsidP="00425CF3">
      <w:pPr>
        <w:pStyle w:val="NormalWeb"/>
        <w:ind w:left="360"/>
        <w:jc w:val="both"/>
        <w:rPr>
          <w:rFonts w:asciiTheme="minorHAnsi" w:hAnsiTheme="minorHAnsi" w:cstheme="minorHAnsi"/>
        </w:rPr>
      </w:pPr>
      <w:r w:rsidRPr="00E331C1">
        <w:rPr>
          <w:rFonts w:asciiTheme="minorHAnsi" w:hAnsiTheme="minorHAnsi" w:cstheme="minorHAnsi"/>
        </w:rPr>
        <w:t>Records in the pinned entries page will be sorted by their target text first, then source text. They are initially hidden until clicked on, like the entries in the search section.</w:t>
      </w:r>
    </w:p>
    <w:p w14:paraId="09763317" w14:textId="3E5EF71D" w:rsidR="00EA384B" w:rsidRDefault="00EA384B" w:rsidP="009B0011">
      <w:pPr>
        <w:spacing w:line="240" w:lineRule="auto"/>
        <w:ind w:firstLine="360"/>
        <w:jc w:val="both"/>
        <w:rPr>
          <w:b/>
          <w:bCs/>
        </w:rPr>
      </w:pPr>
    </w:p>
    <w:p w14:paraId="5E377790" w14:textId="77777777" w:rsidR="00953ED0" w:rsidRDefault="00953ED0" w:rsidP="00953ED0">
      <w:pPr>
        <w:spacing w:line="240" w:lineRule="auto"/>
        <w:ind w:firstLine="360"/>
        <w:jc w:val="both"/>
        <w:rPr>
          <w:b/>
          <w:bCs/>
        </w:rPr>
      </w:pPr>
      <w:r>
        <w:rPr>
          <w:b/>
          <w:bCs/>
        </w:rPr>
        <w:t xml:space="preserve">Contact </w:t>
      </w:r>
    </w:p>
    <w:p w14:paraId="10F2A961" w14:textId="77777777" w:rsidR="00953ED0" w:rsidRDefault="00953ED0" w:rsidP="00953ED0">
      <w:pPr>
        <w:spacing w:line="240" w:lineRule="auto"/>
        <w:ind w:left="360"/>
        <w:jc w:val="both"/>
      </w:pPr>
      <w:r w:rsidRPr="00AC1E4F">
        <w:t>In case of questions or problems</w:t>
      </w:r>
      <w:r>
        <w:t xml:space="preserve"> arising from use of the database</w:t>
      </w:r>
      <w:r w:rsidRPr="00AC1E4F">
        <w:t>, feel free to contact</w:t>
      </w:r>
      <w:r>
        <w:t>:</w:t>
      </w:r>
    </w:p>
    <w:p w14:paraId="4858AE74" w14:textId="77777777" w:rsidR="00953ED0" w:rsidRDefault="00953ED0" w:rsidP="00953ED0">
      <w:pPr>
        <w:spacing w:line="240" w:lineRule="auto"/>
        <w:ind w:left="360"/>
        <w:jc w:val="both"/>
      </w:pPr>
      <w:r w:rsidRPr="00AC1E4F">
        <w:t>Dr Christine Rauer</w:t>
      </w:r>
    </w:p>
    <w:p w14:paraId="0D29652C" w14:textId="77777777" w:rsidR="00953ED0" w:rsidRDefault="00953ED0" w:rsidP="00953ED0">
      <w:pPr>
        <w:spacing w:line="240" w:lineRule="auto"/>
        <w:ind w:left="360"/>
        <w:jc w:val="both"/>
      </w:pPr>
      <w:r>
        <w:t>University of St Andrews</w:t>
      </w:r>
    </w:p>
    <w:p w14:paraId="081AF1F9" w14:textId="77777777" w:rsidR="00953ED0" w:rsidRPr="00AC1E4F" w:rsidRDefault="00953ED0" w:rsidP="00953ED0">
      <w:pPr>
        <w:spacing w:line="240" w:lineRule="auto"/>
        <w:ind w:left="360"/>
        <w:jc w:val="both"/>
      </w:pPr>
      <w:r w:rsidRPr="00AC1E4F">
        <w:t>cr30@st-andrews.ac.uk</w:t>
      </w:r>
    </w:p>
    <w:p w14:paraId="5C3AE4E8" w14:textId="6891A0B6" w:rsidR="00953ED0" w:rsidRDefault="00953ED0" w:rsidP="009B0011">
      <w:pPr>
        <w:spacing w:line="240" w:lineRule="auto"/>
        <w:ind w:firstLine="360"/>
        <w:jc w:val="both"/>
        <w:rPr>
          <w:b/>
          <w:bCs/>
        </w:rPr>
      </w:pPr>
    </w:p>
    <w:p w14:paraId="35CF4BA5" w14:textId="77777777" w:rsidR="00740C3C" w:rsidRDefault="00740C3C" w:rsidP="009B0011">
      <w:pPr>
        <w:spacing w:line="240" w:lineRule="auto"/>
        <w:ind w:firstLine="360"/>
        <w:jc w:val="both"/>
        <w:rPr>
          <w:b/>
          <w:bCs/>
        </w:rPr>
      </w:pPr>
    </w:p>
    <w:p w14:paraId="0EE40F9B" w14:textId="500B0CA0" w:rsidR="00953ED0" w:rsidRDefault="00740C3C" w:rsidP="009B0011">
      <w:pPr>
        <w:spacing w:line="240" w:lineRule="auto"/>
        <w:ind w:firstLine="360"/>
        <w:jc w:val="both"/>
        <w:rPr>
          <w:b/>
          <w:bCs/>
        </w:rPr>
      </w:pPr>
      <w:r>
        <w:rPr>
          <w:b/>
          <w:bCs/>
        </w:rPr>
        <w:t>Copyright and Permissions</w:t>
      </w:r>
    </w:p>
    <w:p w14:paraId="52F04192" w14:textId="4D2A3DCC" w:rsidR="00740C3C" w:rsidRPr="00740C3C" w:rsidRDefault="00740C3C" w:rsidP="00740C3C">
      <w:pPr>
        <w:spacing w:line="240" w:lineRule="auto"/>
        <w:ind w:left="360"/>
        <w:jc w:val="both"/>
      </w:pPr>
      <w:r w:rsidRPr="00740C3C">
        <w:t xml:space="preserve">The data in this application is the copyright of the Fontes Anglo-Saxonici project, and use of </w:t>
      </w:r>
      <w:r>
        <w:t>it</w:t>
      </w:r>
      <w:r w:rsidRPr="00740C3C">
        <w:t xml:space="preserve"> in publications should be acknowledged as described. Users are welcome to copy the application for their own use or for others, or to network it</w:t>
      </w:r>
      <w:r>
        <w:t>,</w:t>
      </w:r>
      <w:r w:rsidRPr="00740C3C">
        <w:t xml:space="preserve"> as long as its form is not changed and acknowledgement is made to the project. You may not sell or hire this product in any form</w:t>
      </w:r>
      <w:r>
        <w:t>.</w:t>
      </w:r>
    </w:p>
    <w:p w14:paraId="74DF99C3" w14:textId="6C95D780" w:rsidR="00740C3C" w:rsidRDefault="00740C3C" w:rsidP="009B0011">
      <w:pPr>
        <w:spacing w:line="240" w:lineRule="auto"/>
        <w:ind w:firstLine="360"/>
        <w:jc w:val="both"/>
        <w:rPr>
          <w:b/>
          <w:bCs/>
        </w:rPr>
      </w:pPr>
    </w:p>
    <w:p w14:paraId="4B792C2E" w14:textId="77777777" w:rsidR="00740C3C" w:rsidRDefault="00740C3C" w:rsidP="009B0011">
      <w:pPr>
        <w:spacing w:line="240" w:lineRule="auto"/>
        <w:ind w:firstLine="360"/>
        <w:jc w:val="both"/>
        <w:rPr>
          <w:b/>
          <w:bCs/>
        </w:rPr>
      </w:pPr>
    </w:p>
    <w:p w14:paraId="7D49FEA0" w14:textId="2473CC6D" w:rsidR="00E331C1" w:rsidRDefault="00EA384B" w:rsidP="009B0011">
      <w:pPr>
        <w:spacing w:line="240" w:lineRule="auto"/>
        <w:ind w:firstLine="360"/>
        <w:jc w:val="both"/>
        <w:rPr>
          <w:b/>
          <w:bCs/>
        </w:rPr>
      </w:pPr>
      <w:r>
        <w:rPr>
          <w:b/>
          <w:bCs/>
        </w:rPr>
        <w:t>Further Reading</w:t>
      </w:r>
    </w:p>
    <w:p w14:paraId="3C854BC3" w14:textId="2C8B786E" w:rsidR="00EA384B" w:rsidRPr="00EA384B" w:rsidRDefault="00EA384B" w:rsidP="00EA384B">
      <w:pPr>
        <w:spacing w:before="200" w:after="0" w:line="240" w:lineRule="auto"/>
        <w:ind w:left="360"/>
        <w:jc w:val="both"/>
        <w:rPr>
          <w:rFonts w:ascii="Times New Roman" w:eastAsia="Times New Roman" w:hAnsi="Times New Roman" w:cs="Times New Roman"/>
          <w:lang w:eastAsia="en-GB"/>
        </w:rPr>
      </w:pPr>
      <w:r w:rsidRPr="00EA384B">
        <w:rPr>
          <w:rFonts w:eastAsiaTheme="minorEastAsia" w:hAnsi="Calibri" w:cstheme="minorBidi"/>
          <w:color w:val="000000" w:themeColor="text1"/>
          <w:kern w:val="24"/>
          <w:lang w:eastAsia="en-GB"/>
        </w:rPr>
        <w:t xml:space="preserve">Biggs, F. M., T. D. Hill and P. E. Szarmach, </w:t>
      </w:r>
      <w:r w:rsidRPr="00EA384B">
        <w:rPr>
          <w:rFonts w:eastAsiaTheme="minorEastAsia" w:hAnsi="Calibri" w:cstheme="minorBidi"/>
          <w:i/>
          <w:iCs/>
          <w:color w:val="000000" w:themeColor="text1"/>
          <w:kern w:val="24"/>
          <w:lang w:eastAsia="en-GB"/>
        </w:rPr>
        <w:t>Sources of Anglo-Saxon Literary Culture: A Trial Version</w:t>
      </w:r>
      <w:r w:rsidRPr="00EA384B">
        <w:rPr>
          <w:rFonts w:eastAsiaTheme="minorEastAsia" w:hAnsi="Calibri" w:cstheme="minorBidi"/>
          <w:color w:val="000000" w:themeColor="text1"/>
          <w:kern w:val="24"/>
          <w:lang w:eastAsia="en-GB"/>
        </w:rPr>
        <w:t>, Medieval and Renaissance Texts and Studies 74 (Binghamton, 1990)</w:t>
      </w:r>
      <w:r>
        <w:rPr>
          <w:rFonts w:eastAsiaTheme="minorEastAsia" w:hAnsi="Calibri" w:cstheme="minorBidi"/>
          <w:color w:val="000000" w:themeColor="text1"/>
          <w:kern w:val="24"/>
          <w:lang w:eastAsia="en-GB"/>
        </w:rPr>
        <w:t xml:space="preserve"> [an early publication of the SASLC project]</w:t>
      </w:r>
    </w:p>
    <w:p w14:paraId="60B84277" w14:textId="3F77FD27" w:rsidR="00EA384B" w:rsidRPr="00EA384B" w:rsidRDefault="00EA384B" w:rsidP="00EA384B">
      <w:pPr>
        <w:spacing w:before="200" w:after="0" w:line="240" w:lineRule="auto"/>
        <w:ind w:left="360"/>
        <w:jc w:val="both"/>
        <w:rPr>
          <w:rFonts w:ascii="Times New Roman" w:eastAsia="Times New Roman" w:hAnsi="Times New Roman" w:cs="Times New Roman"/>
          <w:lang w:eastAsia="en-GB"/>
        </w:rPr>
      </w:pPr>
      <w:r w:rsidRPr="00EA384B">
        <w:rPr>
          <w:rFonts w:eastAsiaTheme="minorEastAsia" w:hAnsi="Calibri" w:cstheme="minorBidi"/>
          <w:color w:val="000000" w:themeColor="text1"/>
          <w:kern w:val="24"/>
          <w:lang w:eastAsia="en-GB"/>
        </w:rPr>
        <w:lastRenderedPageBreak/>
        <w:t xml:space="preserve">A. S. Cook, </w:t>
      </w:r>
      <w:r w:rsidRPr="00EA384B">
        <w:rPr>
          <w:rFonts w:eastAsiaTheme="minorEastAsia" w:hAnsi="Calibri" w:cstheme="minorBidi"/>
          <w:i/>
          <w:iCs/>
          <w:color w:val="000000" w:themeColor="text1"/>
          <w:kern w:val="24"/>
          <w:lang w:eastAsia="en-GB"/>
        </w:rPr>
        <w:t>Biblical Quotations in Old English Prose Writers</w:t>
      </w:r>
      <w:r w:rsidRPr="00EA384B">
        <w:rPr>
          <w:rFonts w:eastAsiaTheme="minorEastAsia" w:hAnsi="Calibri" w:cstheme="minorBidi"/>
          <w:color w:val="000000" w:themeColor="text1"/>
          <w:kern w:val="24"/>
          <w:lang w:eastAsia="en-GB"/>
        </w:rPr>
        <w:t>, 2</w:t>
      </w:r>
      <w:r w:rsidRPr="00EA384B">
        <w:rPr>
          <w:rFonts w:eastAsiaTheme="minorEastAsia" w:hAnsi="Calibri" w:cstheme="minorBidi"/>
          <w:color w:val="000000" w:themeColor="text1"/>
          <w:kern w:val="24"/>
          <w:position w:val="11"/>
          <w:vertAlign w:val="superscript"/>
          <w:lang w:eastAsia="en-GB"/>
        </w:rPr>
        <w:t>nd</w:t>
      </w:r>
      <w:r w:rsidRPr="00EA384B">
        <w:rPr>
          <w:rFonts w:eastAsiaTheme="minorEastAsia" w:hAnsi="Calibri" w:cstheme="minorBidi"/>
          <w:color w:val="000000" w:themeColor="text1"/>
          <w:kern w:val="24"/>
          <w:lang w:eastAsia="en-GB"/>
        </w:rPr>
        <w:t xml:space="preserve"> edn  (New York, 1903)</w:t>
      </w:r>
      <w:r>
        <w:rPr>
          <w:rFonts w:eastAsiaTheme="minorEastAsia" w:hAnsi="Calibri" w:cstheme="minorBidi"/>
          <w:color w:val="000000" w:themeColor="text1"/>
          <w:kern w:val="24"/>
          <w:lang w:eastAsia="en-GB"/>
        </w:rPr>
        <w:t xml:space="preserve"> [an early example of source study, focusing on biblical material]</w:t>
      </w:r>
    </w:p>
    <w:p w14:paraId="17DACC24" w14:textId="1543282F" w:rsidR="00EA384B" w:rsidRPr="00EA384B" w:rsidRDefault="00EA384B" w:rsidP="00EA384B">
      <w:pPr>
        <w:spacing w:before="200" w:after="0" w:line="240" w:lineRule="auto"/>
        <w:ind w:left="360"/>
        <w:jc w:val="both"/>
        <w:rPr>
          <w:rFonts w:ascii="Times New Roman" w:eastAsia="Times New Roman" w:hAnsi="Times New Roman" w:cs="Times New Roman"/>
          <w:lang w:eastAsia="en-GB"/>
        </w:rPr>
      </w:pPr>
      <w:r w:rsidRPr="00EA384B">
        <w:rPr>
          <w:rFonts w:eastAsiaTheme="minorEastAsia" w:hAnsi="Calibri" w:cstheme="minorBidi"/>
          <w:color w:val="000000" w:themeColor="text1"/>
          <w:kern w:val="24"/>
          <w:lang w:eastAsia="en-GB"/>
        </w:rPr>
        <w:t xml:space="preserve">Frantzen, A. J., </w:t>
      </w:r>
      <w:r w:rsidRPr="00EA384B">
        <w:rPr>
          <w:rFonts w:eastAsiaTheme="minorEastAsia" w:hAnsi="Calibri" w:cstheme="minorBidi"/>
          <w:i/>
          <w:iCs/>
          <w:color w:val="000000" w:themeColor="text1"/>
          <w:kern w:val="24"/>
          <w:lang w:eastAsia="en-GB"/>
        </w:rPr>
        <w:t xml:space="preserve">Desire for Origins: New Language, Old English and Teaching the Tradition </w:t>
      </w:r>
      <w:r w:rsidRPr="00EA384B">
        <w:rPr>
          <w:rFonts w:eastAsiaTheme="minorEastAsia" w:hAnsi="Calibri" w:cstheme="minorBidi"/>
          <w:color w:val="000000" w:themeColor="text1"/>
          <w:kern w:val="24"/>
          <w:lang w:eastAsia="en-GB"/>
        </w:rPr>
        <w:t>(New Brunswick, 1990)</w:t>
      </w:r>
      <w:r>
        <w:rPr>
          <w:rFonts w:eastAsiaTheme="minorEastAsia" w:hAnsi="Calibri" w:cstheme="minorBidi"/>
          <w:color w:val="000000" w:themeColor="text1"/>
          <w:kern w:val="24"/>
          <w:lang w:eastAsia="en-GB"/>
        </w:rPr>
        <w:t xml:space="preserve"> [important critique of source study]</w:t>
      </w:r>
    </w:p>
    <w:p w14:paraId="3FD62CB0" w14:textId="00660886" w:rsidR="00EA384B" w:rsidRPr="00EA384B" w:rsidRDefault="00EA384B" w:rsidP="00EA384B">
      <w:pPr>
        <w:spacing w:before="200" w:after="0" w:line="240" w:lineRule="auto"/>
        <w:ind w:firstLine="360"/>
        <w:jc w:val="both"/>
        <w:rPr>
          <w:rFonts w:ascii="Times New Roman" w:eastAsia="Times New Roman" w:hAnsi="Times New Roman" w:cs="Times New Roman"/>
          <w:lang w:eastAsia="en-GB"/>
        </w:rPr>
      </w:pPr>
      <w:r w:rsidRPr="00EA384B">
        <w:rPr>
          <w:rFonts w:eastAsiaTheme="minorEastAsia" w:hAnsi="Calibri" w:cstheme="minorBidi"/>
          <w:color w:val="000000" w:themeColor="text1"/>
          <w:kern w:val="24"/>
          <w:lang w:eastAsia="en-GB"/>
        </w:rPr>
        <w:t xml:space="preserve">Lapidge, M., </w:t>
      </w:r>
      <w:r w:rsidRPr="00EA384B">
        <w:rPr>
          <w:rFonts w:eastAsiaTheme="minorEastAsia" w:hAnsi="Calibri" w:cstheme="minorBidi"/>
          <w:i/>
          <w:iCs/>
          <w:color w:val="000000" w:themeColor="text1"/>
          <w:kern w:val="24"/>
          <w:lang w:eastAsia="en-GB"/>
        </w:rPr>
        <w:t xml:space="preserve">The Anglo-Saxon Library </w:t>
      </w:r>
      <w:r w:rsidRPr="00EA384B">
        <w:rPr>
          <w:rFonts w:eastAsiaTheme="minorEastAsia" w:hAnsi="Calibri" w:cstheme="minorBidi"/>
          <w:color w:val="000000" w:themeColor="text1"/>
          <w:kern w:val="24"/>
          <w:lang w:eastAsia="en-GB"/>
        </w:rPr>
        <w:t>(Oxford, 2006)</w:t>
      </w:r>
      <w:r>
        <w:rPr>
          <w:rFonts w:eastAsiaTheme="minorEastAsia" w:hAnsi="Calibri" w:cstheme="minorBidi"/>
          <w:color w:val="000000" w:themeColor="text1"/>
          <w:kern w:val="24"/>
          <w:lang w:eastAsia="en-GB"/>
        </w:rPr>
        <w:t xml:space="preserve"> [partly based on Fontes data]</w:t>
      </w:r>
    </w:p>
    <w:p w14:paraId="167D2AD7" w14:textId="36C6FAA3" w:rsidR="00EA384B" w:rsidRPr="00EA384B" w:rsidRDefault="00EA384B" w:rsidP="00EA384B">
      <w:pPr>
        <w:spacing w:before="200" w:after="0" w:line="240" w:lineRule="auto"/>
        <w:ind w:left="357"/>
        <w:jc w:val="both"/>
        <w:rPr>
          <w:rFonts w:ascii="Times New Roman" w:eastAsia="Times New Roman" w:hAnsi="Times New Roman" w:cs="Times New Roman"/>
          <w:lang w:eastAsia="en-GB"/>
        </w:rPr>
      </w:pPr>
      <w:r w:rsidRPr="00EA384B">
        <w:rPr>
          <w:rFonts w:eastAsiaTheme="minorEastAsia" w:hAnsi="Calibri" w:cstheme="minorBidi"/>
          <w:color w:val="000000" w:themeColor="text1"/>
          <w:kern w:val="24"/>
          <w:lang w:eastAsia="en-GB"/>
        </w:rPr>
        <w:t xml:space="preserve">O’Brien O’Keeffe, K., ‘Source, Method, Theory, Practice: On Reading Two Old English Verse Texts’, </w:t>
      </w:r>
      <w:r w:rsidRPr="00EA384B">
        <w:rPr>
          <w:rFonts w:eastAsiaTheme="minorEastAsia" w:hAnsi="Calibri" w:cstheme="minorBidi"/>
          <w:i/>
          <w:iCs/>
          <w:color w:val="000000" w:themeColor="text1"/>
          <w:kern w:val="24"/>
          <w:lang w:eastAsia="en-GB"/>
        </w:rPr>
        <w:t>Textual and Material Culture in Anglo-Saxon England</w:t>
      </w:r>
      <w:r w:rsidRPr="00EA384B">
        <w:rPr>
          <w:rFonts w:eastAsiaTheme="minorEastAsia" w:hAnsi="Calibri" w:cstheme="minorBidi"/>
          <w:color w:val="000000" w:themeColor="text1"/>
          <w:kern w:val="24"/>
          <w:lang w:eastAsia="en-GB"/>
        </w:rPr>
        <w:t>, ed. D. Scragg (Cambridge, 2003), pp. 161-81</w:t>
      </w:r>
      <w:r>
        <w:rPr>
          <w:rFonts w:eastAsiaTheme="minorEastAsia" w:hAnsi="Calibri" w:cstheme="minorBidi"/>
          <w:color w:val="000000" w:themeColor="text1"/>
          <w:kern w:val="24"/>
          <w:lang w:eastAsia="en-GB"/>
        </w:rPr>
        <w:t xml:space="preserve"> [discussion of intertextual relationships; provided the term ‘target text’ to the Fontes project]</w:t>
      </w:r>
    </w:p>
    <w:p w14:paraId="5AE137D8" w14:textId="5E740C74" w:rsidR="00EA384B" w:rsidRPr="00EA384B" w:rsidRDefault="00EA384B" w:rsidP="00EA384B">
      <w:pPr>
        <w:spacing w:before="200" w:after="0" w:line="240" w:lineRule="auto"/>
        <w:ind w:left="357"/>
        <w:jc w:val="both"/>
        <w:rPr>
          <w:rFonts w:ascii="Times New Roman" w:eastAsia="Times New Roman" w:hAnsi="Times New Roman" w:cs="Times New Roman"/>
          <w:lang w:eastAsia="en-GB"/>
        </w:rPr>
      </w:pPr>
      <w:r w:rsidRPr="00EA384B">
        <w:rPr>
          <w:rFonts w:eastAsiaTheme="minorEastAsia" w:hAnsi="Calibri" w:cstheme="minorBidi"/>
          <w:color w:val="000000" w:themeColor="text1"/>
          <w:kern w:val="24"/>
          <w:lang w:eastAsia="en-GB"/>
        </w:rPr>
        <w:t xml:space="preserve">Ogilvy, J. D. A., </w:t>
      </w:r>
      <w:r w:rsidRPr="00EA384B">
        <w:rPr>
          <w:rFonts w:eastAsiaTheme="minorEastAsia" w:hAnsi="Calibri" w:cstheme="minorBidi"/>
          <w:i/>
          <w:iCs/>
          <w:color w:val="000000" w:themeColor="text1"/>
          <w:kern w:val="24"/>
          <w:lang w:eastAsia="en-GB"/>
        </w:rPr>
        <w:t>Books known to the English</w:t>
      </w:r>
      <w:r w:rsidRPr="00EA384B">
        <w:rPr>
          <w:rFonts w:eastAsiaTheme="minorEastAsia" w:hAnsi="Calibri" w:cstheme="minorBidi"/>
          <w:color w:val="000000" w:themeColor="text1"/>
          <w:kern w:val="24"/>
          <w:lang w:eastAsia="en-GB"/>
        </w:rPr>
        <w:t>, 597-1066 (Cambridge, MA, 1967)</w:t>
      </w:r>
      <w:r>
        <w:rPr>
          <w:rFonts w:eastAsiaTheme="minorEastAsia" w:hAnsi="Calibri" w:cstheme="minorBidi"/>
          <w:color w:val="000000" w:themeColor="text1"/>
          <w:kern w:val="24"/>
          <w:lang w:eastAsia="en-GB"/>
        </w:rPr>
        <w:t xml:space="preserve"> [a forerunner of the </w:t>
      </w:r>
      <w:r w:rsidRPr="00EA384B">
        <w:rPr>
          <w:rFonts w:eastAsiaTheme="minorEastAsia" w:hAnsi="Calibri" w:cstheme="minorBidi"/>
          <w:i/>
          <w:iCs/>
          <w:color w:val="000000" w:themeColor="text1"/>
          <w:kern w:val="24"/>
          <w:lang w:eastAsia="en-GB"/>
        </w:rPr>
        <w:t>Fontes Anglo-Saxonici</w:t>
      </w:r>
      <w:r>
        <w:rPr>
          <w:rFonts w:eastAsiaTheme="minorEastAsia" w:hAnsi="Calibri" w:cstheme="minorBidi"/>
          <w:color w:val="000000" w:themeColor="text1"/>
          <w:kern w:val="24"/>
          <w:lang w:eastAsia="en-GB"/>
        </w:rPr>
        <w:t xml:space="preserve"> project]</w:t>
      </w:r>
    </w:p>
    <w:p w14:paraId="0D284D16" w14:textId="6DD4A6B1" w:rsidR="00EA384B" w:rsidRPr="00EA384B" w:rsidRDefault="00EA384B" w:rsidP="00EA384B">
      <w:pPr>
        <w:spacing w:before="200" w:after="0" w:line="240" w:lineRule="auto"/>
        <w:ind w:left="357"/>
        <w:jc w:val="both"/>
        <w:rPr>
          <w:rFonts w:ascii="Times New Roman" w:eastAsia="Times New Roman" w:hAnsi="Times New Roman" w:cs="Times New Roman"/>
          <w:lang w:eastAsia="en-GB"/>
        </w:rPr>
      </w:pPr>
      <w:r w:rsidRPr="00EA384B">
        <w:rPr>
          <w:rFonts w:eastAsiaTheme="minorEastAsia" w:hAnsi="Calibri" w:cstheme="minorBidi"/>
          <w:color w:val="000000" w:themeColor="text1"/>
          <w:kern w:val="24"/>
          <w:lang w:eastAsia="en-GB"/>
        </w:rPr>
        <w:t xml:space="preserve">Rauer, C., </w:t>
      </w:r>
      <w:r w:rsidRPr="00EA384B">
        <w:rPr>
          <w:rFonts w:eastAsiaTheme="minorEastAsia" w:hAnsi="Calibri" w:cstheme="minorBidi"/>
          <w:i/>
          <w:iCs/>
          <w:color w:val="000000" w:themeColor="text1"/>
          <w:kern w:val="24"/>
          <w:lang w:eastAsia="en-GB"/>
        </w:rPr>
        <w:t xml:space="preserve">Beowulf and the Dragon: Parallels and Analogues </w:t>
      </w:r>
      <w:r w:rsidRPr="00EA384B">
        <w:rPr>
          <w:rFonts w:eastAsiaTheme="minorEastAsia" w:hAnsi="Calibri" w:cstheme="minorBidi"/>
          <w:color w:val="000000" w:themeColor="text1"/>
          <w:kern w:val="24"/>
          <w:lang w:eastAsia="en-GB"/>
        </w:rPr>
        <w:t>(Cambridge, 2000), pp. 9-11</w:t>
      </w:r>
      <w:r>
        <w:rPr>
          <w:rFonts w:eastAsiaTheme="minorEastAsia" w:hAnsi="Calibri" w:cstheme="minorBidi"/>
          <w:color w:val="000000" w:themeColor="text1"/>
          <w:kern w:val="24"/>
          <w:lang w:eastAsia="en-GB"/>
        </w:rPr>
        <w:t xml:space="preserve"> [definitions of key terms, including source and analogue]</w:t>
      </w:r>
    </w:p>
    <w:p w14:paraId="5E2202E2" w14:textId="44F43EC2" w:rsidR="00EA384B" w:rsidRPr="00EA384B" w:rsidRDefault="00EA384B" w:rsidP="00EA384B">
      <w:pPr>
        <w:spacing w:before="200" w:after="0" w:line="240" w:lineRule="auto"/>
        <w:ind w:left="357"/>
        <w:jc w:val="both"/>
        <w:rPr>
          <w:rFonts w:ascii="Times New Roman" w:eastAsia="Times New Roman" w:hAnsi="Times New Roman" w:cs="Times New Roman"/>
          <w:lang w:eastAsia="en-GB"/>
        </w:rPr>
      </w:pPr>
      <w:r w:rsidRPr="00EA384B">
        <w:rPr>
          <w:rFonts w:eastAsiaTheme="minorEastAsia" w:hAnsi="Calibri" w:cstheme="minorBidi"/>
          <w:i/>
          <w:iCs/>
          <w:color w:val="000000" w:themeColor="text1"/>
          <w:kern w:val="24"/>
          <w:lang w:eastAsia="en-GB"/>
        </w:rPr>
        <w:t xml:space="preserve">SASLC / SOEALLC: </w:t>
      </w:r>
      <w:hyperlink r:id="rId22" w:history="1">
        <w:r w:rsidRPr="00EA384B">
          <w:rPr>
            <w:rFonts w:ascii="Calibri" w:eastAsiaTheme="minorEastAsia" w:hAnsi="Calibri" w:cstheme="minorBidi"/>
            <w:color w:val="000000"/>
            <w:kern w:val="24"/>
            <w:u w:val="single"/>
            <w:lang w:eastAsia="en-GB"/>
          </w:rPr>
          <w:t>https://hcommons.org/groups/sources-of-old-english-and-anglo-latin-literary-culture/</w:t>
        </w:r>
      </w:hyperlink>
      <w:r>
        <w:rPr>
          <w:rFonts w:ascii="Calibri" w:eastAsiaTheme="minorEastAsia" w:hAnsi="Calibri" w:cstheme="minorBidi"/>
          <w:color w:val="000000"/>
          <w:kern w:val="24"/>
          <w:lang w:eastAsia="en-GB"/>
        </w:rPr>
        <w:t xml:space="preserve"> [a US-based sister project to </w:t>
      </w:r>
      <w:r w:rsidRPr="00EA384B">
        <w:rPr>
          <w:rFonts w:ascii="Calibri" w:eastAsiaTheme="minorEastAsia" w:hAnsi="Calibri" w:cstheme="minorBidi"/>
          <w:i/>
          <w:iCs/>
          <w:color w:val="000000"/>
          <w:kern w:val="24"/>
          <w:lang w:eastAsia="en-GB"/>
        </w:rPr>
        <w:t>Fontes Anglo-Saxonici</w:t>
      </w:r>
      <w:r>
        <w:rPr>
          <w:rFonts w:ascii="Calibri" w:eastAsiaTheme="minorEastAsia" w:hAnsi="Calibri" w:cstheme="minorBidi"/>
          <w:color w:val="000000"/>
          <w:kern w:val="24"/>
          <w:lang w:eastAsia="en-GB"/>
        </w:rPr>
        <w:t>]</w:t>
      </w:r>
    </w:p>
    <w:p w14:paraId="59D5734A" w14:textId="4BD79C4B" w:rsidR="00EA384B" w:rsidRPr="00EA384B" w:rsidRDefault="00EA384B" w:rsidP="00EA384B">
      <w:pPr>
        <w:spacing w:before="200" w:after="0" w:line="240" w:lineRule="auto"/>
        <w:ind w:left="357"/>
        <w:jc w:val="both"/>
        <w:rPr>
          <w:rFonts w:ascii="Times New Roman" w:eastAsia="Times New Roman" w:hAnsi="Times New Roman" w:cs="Times New Roman"/>
          <w:lang w:eastAsia="en-GB"/>
        </w:rPr>
      </w:pPr>
      <w:r w:rsidRPr="00EA384B">
        <w:rPr>
          <w:rFonts w:ascii="Calibri" w:eastAsiaTheme="minorEastAsia" w:hAnsi="Calibri" w:cstheme="minorBidi"/>
          <w:color w:val="000000"/>
          <w:kern w:val="24"/>
          <w:lang w:eastAsia="en-GB"/>
        </w:rPr>
        <w:t xml:space="preserve">Wright, C. D., ‘Sourcing Old English Anonymous Homilies: The Pioneers (Max Förster, Rudolph Willard, and J. E. Cross)’, </w:t>
      </w:r>
      <w:r w:rsidRPr="00EA384B">
        <w:rPr>
          <w:rFonts w:ascii="Calibri" w:eastAsiaTheme="minorEastAsia" w:hAnsi="Calibri" w:cstheme="minorBidi"/>
          <w:i/>
          <w:iCs/>
          <w:color w:val="000000"/>
          <w:kern w:val="24"/>
          <w:lang w:eastAsia="en-GB"/>
        </w:rPr>
        <w:t>The Anonymous Old English Homily: Sources, Composition, and Variation</w:t>
      </w:r>
      <w:r w:rsidRPr="00EA384B">
        <w:rPr>
          <w:rFonts w:ascii="Calibri" w:eastAsiaTheme="minorEastAsia" w:hAnsi="Calibri" w:cstheme="minorBidi"/>
          <w:color w:val="000000"/>
          <w:kern w:val="24"/>
          <w:lang w:eastAsia="en-GB"/>
        </w:rPr>
        <w:t>, ed. W. Rudolf and S. Irvine, Medieval and Renaissance Texts and Authors 25 (Leiden, 2020), pp. 36-84</w:t>
      </w:r>
      <w:r>
        <w:rPr>
          <w:rFonts w:ascii="Calibri" w:eastAsiaTheme="minorEastAsia" w:hAnsi="Calibri" w:cstheme="minorBidi"/>
          <w:color w:val="000000"/>
          <w:kern w:val="24"/>
          <w:lang w:eastAsia="en-GB"/>
        </w:rPr>
        <w:t xml:space="preserve"> [a recent example of source study, with homiletic focus]</w:t>
      </w:r>
    </w:p>
    <w:p w14:paraId="6A86EBCD" w14:textId="77777777" w:rsidR="00EA384B" w:rsidRDefault="00EA384B" w:rsidP="009B0011">
      <w:pPr>
        <w:spacing w:line="240" w:lineRule="auto"/>
        <w:ind w:firstLine="360"/>
        <w:jc w:val="both"/>
        <w:rPr>
          <w:b/>
          <w:bCs/>
        </w:rPr>
      </w:pPr>
    </w:p>
    <w:p w14:paraId="75F50BAD" w14:textId="53680ED6" w:rsidR="00E331C1" w:rsidRPr="00DC1C5E" w:rsidRDefault="00DC1C5E" w:rsidP="009B0011">
      <w:pPr>
        <w:spacing w:line="240" w:lineRule="auto"/>
        <w:ind w:firstLine="360"/>
        <w:jc w:val="both"/>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DC1C5E">
        <w:t>11/03/2021</w:t>
      </w:r>
    </w:p>
    <w:p w14:paraId="555F9C76" w14:textId="3F1DDBAA" w:rsidR="003C39C8" w:rsidRDefault="003C39C8" w:rsidP="00DA284C">
      <w:pPr>
        <w:spacing w:line="240" w:lineRule="auto"/>
        <w:jc w:val="both"/>
      </w:pPr>
    </w:p>
    <w:sectPr w:rsidR="003C39C8">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5A7C4" w14:textId="77777777" w:rsidR="00CD69F8" w:rsidRDefault="00CD69F8" w:rsidP="002A2B62">
      <w:pPr>
        <w:spacing w:after="0" w:line="240" w:lineRule="auto"/>
      </w:pPr>
      <w:r>
        <w:separator/>
      </w:r>
    </w:p>
  </w:endnote>
  <w:endnote w:type="continuationSeparator" w:id="0">
    <w:p w14:paraId="126952CD" w14:textId="77777777" w:rsidR="00CD69F8" w:rsidRDefault="00CD69F8" w:rsidP="002A2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3733463"/>
      <w:docPartObj>
        <w:docPartGallery w:val="Page Numbers (Bottom of Page)"/>
        <w:docPartUnique/>
      </w:docPartObj>
    </w:sdtPr>
    <w:sdtEndPr>
      <w:rPr>
        <w:noProof/>
      </w:rPr>
    </w:sdtEndPr>
    <w:sdtContent>
      <w:p w14:paraId="0766DA45" w14:textId="77777777" w:rsidR="002A2B62" w:rsidRDefault="002A2B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D03341" w14:textId="77777777" w:rsidR="002A2B62" w:rsidRDefault="002A2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A8FE0" w14:textId="77777777" w:rsidR="00CD69F8" w:rsidRDefault="00CD69F8" w:rsidP="002A2B62">
      <w:pPr>
        <w:spacing w:after="0" w:line="240" w:lineRule="auto"/>
      </w:pPr>
      <w:r>
        <w:separator/>
      </w:r>
    </w:p>
  </w:footnote>
  <w:footnote w:type="continuationSeparator" w:id="0">
    <w:p w14:paraId="4C8CA054" w14:textId="77777777" w:rsidR="00CD69F8" w:rsidRDefault="00CD69F8" w:rsidP="002A2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E5792"/>
    <w:multiLevelType w:val="hybridMultilevel"/>
    <w:tmpl w:val="AA843040"/>
    <w:lvl w:ilvl="0" w:tplc="5A003A8A">
      <w:start w:val="1"/>
      <w:numFmt w:val="bullet"/>
      <w:lvlText w:val="•"/>
      <w:lvlJc w:val="left"/>
      <w:pPr>
        <w:tabs>
          <w:tab w:val="num" w:pos="720"/>
        </w:tabs>
        <w:ind w:left="720" w:hanging="360"/>
      </w:pPr>
      <w:rPr>
        <w:rFonts w:ascii="Arial" w:hAnsi="Arial" w:hint="default"/>
      </w:rPr>
    </w:lvl>
    <w:lvl w:ilvl="1" w:tplc="3258B14A" w:tentative="1">
      <w:start w:val="1"/>
      <w:numFmt w:val="bullet"/>
      <w:lvlText w:val="•"/>
      <w:lvlJc w:val="left"/>
      <w:pPr>
        <w:tabs>
          <w:tab w:val="num" w:pos="1440"/>
        </w:tabs>
        <w:ind w:left="1440" w:hanging="360"/>
      </w:pPr>
      <w:rPr>
        <w:rFonts w:ascii="Arial" w:hAnsi="Arial" w:hint="default"/>
      </w:rPr>
    </w:lvl>
    <w:lvl w:ilvl="2" w:tplc="EB1C38DE" w:tentative="1">
      <w:start w:val="1"/>
      <w:numFmt w:val="bullet"/>
      <w:lvlText w:val="•"/>
      <w:lvlJc w:val="left"/>
      <w:pPr>
        <w:tabs>
          <w:tab w:val="num" w:pos="2160"/>
        </w:tabs>
        <w:ind w:left="2160" w:hanging="360"/>
      </w:pPr>
      <w:rPr>
        <w:rFonts w:ascii="Arial" w:hAnsi="Arial" w:hint="default"/>
      </w:rPr>
    </w:lvl>
    <w:lvl w:ilvl="3" w:tplc="2500B3CE" w:tentative="1">
      <w:start w:val="1"/>
      <w:numFmt w:val="bullet"/>
      <w:lvlText w:val="•"/>
      <w:lvlJc w:val="left"/>
      <w:pPr>
        <w:tabs>
          <w:tab w:val="num" w:pos="2880"/>
        </w:tabs>
        <w:ind w:left="2880" w:hanging="360"/>
      </w:pPr>
      <w:rPr>
        <w:rFonts w:ascii="Arial" w:hAnsi="Arial" w:hint="default"/>
      </w:rPr>
    </w:lvl>
    <w:lvl w:ilvl="4" w:tplc="92B800C6" w:tentative="1">
      <w:start w:val="1"/>
      <w:numFmt w:val="bullet"/>
      <w:lvlText w:val="•"/>
      <w:lvlJc w:val="left"/>
      <w:pPr>
        <w:tabs>
          <w:tab w:val="num" w:pos="3600"/>
        </w:tabs>
        <w:ind w:left="3600" w:hanging="360"/>
      </w:pPr>
      <w:rPr>
        <w:rFonts w:ascii="Arial" w:hAnsi="Arial" w:hint="default"/>
      </w:rPr>
    </w:lvl>
    <w:lvl w:ilvl="5" w:tplc="1F567C94" w:tentative="1">
      <w:start w:val="1"/>
      <w:numFmt w:val="bullet"/>
      <w:lvlText w:val="•"/>
      <w:lvlJc w:val="left"/>
      <w:pPr>
        <w:tabs>
          <w:tab w:val="num" w:pos="4320"/>
        </w:tabs>
        <w:ind w:left="4320" w:hanging="360"/>
      </w:pPr>
      <w:rPr>
        <w:rFonts w:ascii="Arial" w:hAnsi="Arial" w:hint="default"/>
      </w:rPr>
    </w:lvl>
    <w:lvl w:ilvl="6" w:tplc="BCC43642" w:tentative="1">
      <w:start w:val="1"/>
      <w:numFmt w:val="bullet"/>
      <w:lvlText w:val="•"/>
      <w:lvlJc w:val="left"/>
      <w:pPr>
        <w:tabs>
          <w:tab w:val="num" w:pos="5040"/>
        </w:tabs>
        <w:ind w:left="5040" w:hanging="360"/>
      </w:pPr>
      <w:rPr>
        <w:rFonts w:ascii="Arial" w:hAnsi="Arial" w:hint="default"/>
      </w:rPr>
    </w:lvl>
    <w:lvl w:ilvl="7" w:tplc="F2786E42" w:tentative="1">
      <w:start w:val="1"/>
      <w:numFmt w:val="bullet"/>
      <w:lvlText w:val="•"/>
      <w:lvlJc w:val="left"/>
      <w:pPr>
        <w:tabs>
          <w:tab w:val="num" w:pos="5760"/>
        </w:tabs>
        <w:ind w:left="5760" w:hanging="360"/>
      </w:pPr>
      <w:rPr>
        <w:rFonts w:ascii="Arial" w:hAnsi="Arial" w:hint="default"/>
      </w:rPr>
    </w:lvl>
    <w:lvl w:ilvl="8" w:tplc="39A000D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2B04F3E"/>
    <w:multiLevelType w:val="hybridMultilevel"/>
    <w:tmpl w:val="C1FA0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D57A84"/>
    <w:multiLevelType w:val="hybridMultilevel"/>
    <w:tmpl w:val="6FD227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F71CE6"/>
    <w:multiLevelType w:val="hybridMultilevel"/>
    <w:tmpl w:val="78A8475C"/>
    <w:lvl w:ilvl="0" w:tplc="7A324D2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F134735"/>
    <w:multiLevelType w:val="hybridMultilevel"/>
    <w:tmpl w:val="F884779C"/>
    <w:lvl w:ilvl="0" w:tplc="525E70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059213D"/>
    <w:multiLevelType w:val="hybridMultilevel"/>
    <w:tmpl w:val="71D807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873554"/>
    <w:multiLevelType w:val="hybridMultilevel"/>
    <w:tmpl w:val="2F983A1A"/>
    <w:lvl w:ilvl="0" w:tplc="6422E67C">
      <w:start w:val="1"/>
      <w:numFmt w:val="bullet"/>
      <w:lvlText w:val="•"/>
      <w:lvlJc w:val="left"/>
      <w:pPr>
        <w:tabs>
          <w:tab w:val="num" w:pos="720"/>
        </w:tabs>
        <w:ind w:left="720" w:hanging="360"/>
      </w:pPr>
      <w:rPr>
        <w:rFonts w:ascii="Arial" w:hAnsi="Arial" w:hint="default"/>
      </w:rPr>
    </w:lvl>
    <w:lvl w:ilvl="1" w:tplc="E37814CA" w:tentative="1">
      <w:start w:val="1"/>
      <w:numFmt w:val="bullet"/>
      <w:lvlText w:val="•"/>
      <w:lvlJc w:val="left"/>
      <w:pPr>
        <w:tabs>
          <w:tab w:val="num" w:pos="1440"/>
        </w:tabs>
        <w:ind w:left="1440" w:hanging="360"/>
      </w:pPr>
      <w:rPr>
        <w:rFonts w:ascii="Arial" w:hAnsi="Arial" w:hint="default"/>
      </w:rPr>
    </w:lvl>
    <w:lvl w:ilvl="2" w:tplc="E0CEE76A" w:tentative="1">
      <w:start w:val="1"/>
      <w:numFmt w:val="bullet"/>
      <w:lvlText w:val="•"/>
      <w:lvlJc w:val="left"/>
      <w:pPr>
        <w:tabs>
          <w:tab w:val="num" w:pos="2160"/>
        </w:tabs>
        <w:ind w:left="2160" w:hanging="360"/>
      </w:pPr>
      <w:rPr>
        <w:rFonts w:ascii="Arial" w:hAnsi="Arial" w:hint="default"/>
      </w:rPr>
    </w:lvl>
    <w:lvl w:ilvl="3" w:tplc="8388962C" w:tentative="1">
      <w:start w:val="1"/>
      <w:numFmt w:val="bullet"/>
      <w:lvlText w:val="•"/>
      <w:lvlJc w:val="left"/>
      <w:pPr>
        <w:tabs>
          <w:tab w:val="num" w:pos="2880"/>
        </w:tabs>
        <w:ind w:left="2880" w:hanging="360"/>
      </w:pPr>
      <w:rPr>
        <w:rFonts w:ascii="Arial" w:hAnsi="Arial" w:hint="default"/>
      </w:rPr>
    </w:lvl>
    <w:lvl w:ilvl="4" w:tplc="B268C8AC" w:tentative="1">
      <w:start w:val="1"/>
      <w:numFmt w:val="bullet"/>
      <w:lvlText w:val="•"/>
      <w:lvlJc w:val="left"/>
      <w:pPr>
        <w:tabs>
          <w:tab w:val="num" w:pos="3600"/>
        </w:tabs>
        <w:ind w:left="3600" w:hanging="360"/>
      </w:pPr>
      <w:rPr>
        <w:rFonts w:ascii="Arial" w:hAnsi="Arial" w:hint="default"/>
      </w:rPr>
    </w:lvl>
    <w:lvl w:ilvl="5" w:tplc="F26EFB22" w:tentative="1">
      <w:start w:val="1"/>
      <w:numFmt w:val="bullet"/>
      <w:lvlText w:val="•"/>
      <w:lvlJc w:val="left"/>
      <w:pPr>
        <w:tabs>
          <w:tab w:val="num" w:pos="4320"/>
        </w:tabs>
        <w:ind w:left="4320" w:hanging="360"/>
      </w:pPr>
      <w:rPr>
        <w:rFonts w:ascii="Arial" w:hAnsi="Arial" w:hint="default"/>
      </w:rPr>
    </w:lvl>
    <w:lvl w:ilvl="6" w:tplc="CC9AE81E" w:tentative="1">
      <w:start w:val="1"/>
      <w:numFmt w:val="bullet"/>
      <w:lvlText w:val="•"/>
      <w:lvlJc w:val="left"/>
      <w:pPr>
        <w:tabs>
          <w:tab w:val="num" w:pos="5040"/>
        </w:tabs>
        <w:ind w:left="5040" w:hanging="360"/>
      </w:pPr>
      <w:rPr>
        <w:rFonts w:ascii="Arial" w:hAnsi="Arial" w:hint="default"/>
      </w:rPr>
    </w:lvl>
    <w:lvl w:ilvl="7" w:tplc="79EE321E" w:tentative="1">
      <w:start w:val="1"/>
      <w:numFmt w:val="bullet"/>
      <w:lvlText w:val="•"/>
      <w:lvlJc w:val="left"/>
      <w:pPr>
        <w:tabs>
          <w:tab w:val="num" w:pos="5760"/>
        </w:tabs>
        <w:ind w:left="5760" w:hanging="360"/>
      </w:pPr>
      <w:rPr>
        <w:rFonts w:ascii="Arial" w:hAnsi="Arial" w:hint="default"/>
      </w:rPr>
    </w:lvl>
    <w:lvl w:ilvl="8" w:tplc="F3580F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0326DEC"/>
    <w:multiLevelType w:val="hybridMultilevel"/>
    <w:tmpl w:val="A60A50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6"/>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DD"/>
    <w:rsid w:val="00035120"/>
    <w:rsid w:val="000402B1"/>
    <w:rsid w:val="00040780"/>
    <w:rsid w:val="000565C4"/>
    <w:rsid w:val="00075EBA"/>
    <w:rsid w:val="000D69A9"/>
    <w:rsid w:val="000E0EE0"/>
    <w:rsid w:val="000F0C3B"/>
    <w:rsid w:val="00142638"/>
    <w:rsid w:val="00156583"/>
    <w:rsid w:val="00172DF6"/>
    <w:rsid w:val="00180BD0"/>
    <w:rsid w:val="001D2167"/>
    <w:rsid w:val="00215AC9"/>
    <w:rsid w:val="00253B25"/>
    <w:rsid w:val="0028138D"/>
    <w:rsid w:val="002A2B62"/>
    <w:rsid w:val="002C2259"/>
    <w:rsid w:val="002C7804"/>
    <w:rsid w:val="003C39C8"/>
    <w:rsid w:val="00425CF3"/>
    <w:rsid w:val="004353CE"/>
    <w:rsid w:val="004547CB"/>
    <w:rsid w:val="00456186"/>
    <w:rsid w:val="0049102A"/>
    <w:rsid w:val="004F2B25"/>
    <w:rsid w:val="004F65EC"/>
    <w:rsid w:val="00533557"/>
    <w:rsid w:val="00582778"/>
    <w:rsid w:val="00597702"/>
    <w:rsid w:val="005C1C01"/>
    <w:rsid w:val="005E00E3"/>
    <w:rsid w:val="005F647D"/>
    <w:rsid w:val="0060500D"/>
    <w:rsid w:val="006213DC"/>
    <w:rsid w:val="00652874"/>
    <w:rsid w:val="006A2B3D"/>
    <w:rsid w:val="006B3F67"/>
    <w:rsid w:val="006D532E"/>
    <w:rsid w:val="006D5811"/>
    <w:rsid w:val="00713743"/>
    <w:rsid w:val="007166B3"/>
    <w:rsid w:val="00740C3C"/>
    <w:rsid w:val="00770366"/>
    <w:rsid w:val="007E44AF"/>
    <w:rsid w:val="008210D8"/>
    <w:rsid w:val="00847FCF"/>
    <w:rsid w:val="00893D11"/>
    <w:rsid w:val="008A3F84"/>
    <w:rsid w:val="008E0F81"/>
    <w:rsid w:val="008E4918"/>
    <w:rsid w:val="00900B2D"/>
    <w:rsid w:val="0092317A"/>
    <w:rsid w:val="00927A4D"/>
    <w:rsid w:val="0093430F"/>
    <w:rsid w:val="00953ED0"/>
    <w:rsid w:val="009767FC"/>
    <w:rsid w:val="009B0011"/>
    <w:rsid w:val="009C0C7A"/>
    <w:rsid w:val="00A343AB"/>
    <w:rsid w:val="00A46D55"/>
    <w:rsid w:val="00A632E0"/>
    <w:rsid w:val="00A64BA1"/>
    <w:rsid w:val="00A655BD"/>
    <w:rsid w:val="00A67F1D"/>
    <w:rsid w:val="00A858A8"/>
    <w:rsid w:val="00A9668B"/>
    <w:rsid w:val="00AB0404"/>
    <w:rsid w:val="00AC1E4F"/>
    <w:rsid w:val="00AD7035"/>
    <w:rsid w:val="00B21BD8"/>
    <w:rsid w:val="00B27722"/>
    <w:rsid w:val="00B720C5"/>
    <w:rsid w:val="00BB2B2D"/>
    <w:rsid w:val="00C41045"/>
    <w:rsid w:val="00C41633"/>
    <w:rsid w:val="00CB62F4"/>
    <w:rsid w:val="00CD66AE"/>
    <w:rsid w:val="00CD69F8"/>
    <w:rsid w:val="00CE092C"/>
    <w:rsid w:val="00D211AF"/>
    <w:rsid w:val="00D37D60"/>
    <w:rsid w:val="00D47EF3"/>
    <w:rsid w:val="00D65790"/>
    <w:rsid w:val="00D76734"/>
    <w:rsid w:val="00DA284C"/>
    <w:rsid w:val="00DC1C5E"/>
    <w:rsid w:val="00DE6ADD"/>
    <w:rsid w:val="00E331C1"/>
    <w:rsid w:val="00E44A87"/>
    <w:rsid w:val="00E64809"/>
    <w:rsid w:val="00E72153"/>
    <w:rsid w:val="00E8099F"/>
    <w:rsid w:val="00EA384B"/>
    <w:rsid w:val="00ED299C"/>
    <w:rsid w:val="00F07828"/>
    <w:rsid w:val="00F51433"/>
    <w:rsid w:val="00F53FD7"/>
    <w:rsid w:val="00F708A6"/>
    <w:rsid w:val="00FD5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9576B"/>
  <w15:chartTrackingRefBased/>
  <w15:docId w15:val="{6B6CA594-914B-4C6C-98A4-4CDEA2A3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ADD"/>
    <w:pPr>
      <w:ind w:left="720"/>
      <w:contextualSpacing/>
    </w:pPr>
  </w:style>
  <w:style w:type="paragraph" w:styleId="Header">
    <w:name w:val="header"/>
    <w:basedOn w:val="Normal"/>
    <w:link w:val="HeaderChar"/>
    <w:uiPriority w:val="99"/>
    <w:unhideWhenUsed/>
    <w:rsid w:val="002A2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B62"/>
  </w:style>
  <w:style w:type="paragraph" w:styleId="Footer">
    <w:name w:val="footer"/>
    <w:basedOn w:val="Normal"/>
    <w:link w:val="FooterChar"/>
    <w:uiPriority w:val="99"/>
    <w:unhideWhenUsed/>
    <w:rsid w:val="002A2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B62"/>
  </w:style>
  <w:style w:type="paragraph" w:styleId="NormalWeb">
    <w:name w:val="Normal (Web)"/>
    <w:basedOn w:val="Normal"/>
    <w:uiPriority w:val="99"/>
    <w:unhideWhenUsed/>
    <w:rsid w:val="00FD5128"/>
    <w:pPr>
      <w:spacing w:before="100" w:beforeAutospacing="1" w:after="100" w:afterAutospacing="1" w:line="240" w:lineRule="auto"/>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EA384B"/>
    <w:rPr>
      <w:color w:val="0000FF"/>
      <w:u w:val="single"/>
    </w:rPr>
  </w:style>
  <w:style w:type="character" w:styleId="UnresolvedMention">
    <w:name w:val="Unresolved Mention"/>
    <w:basedOn w:val="DefaultParagraphFont"/>
    <w:uiPriority w:val="99"/>
    <w:semiHidden/>
    <w:unhideWhenUsed/>
    <w:rsid w:val="00EA3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024366">
      <w:bodyDiv w:val="1"/>
      <w:marLeft w:val="0"/>
      <w:marRight w:val="0"/>
      <w:marTop w:val="0"/>
      <w:marBottom w:val="0"/>
      <w:divBdr>
        <w:top w:val="none" w:sz="0" w:space="0" w:color="auto"/>
        <w:left w:val="none" w:sz="0" w:space="0" w:color="auto"/>
        <w:bottom w:val="none" w:sz="0" w:space="0" w:color="auto"/>
        <w:right w:val="none" w:sz="0" w:space="0" w:color="auto"/>
      </w:divBdr>
    </w:div>
    <w:div w:id="569080042">
      <w:bodyDiv w:val="1"/>
      <w:marLeft w:val="0"/>
      <w:marRight w:val="0"/>
      <w:marTop w:val="0"/>
      <w:marBottom w:val="0"/>
      <w:divBdr>
        <w:top w:val="none" w:sz="0" w:space="0" w:color="auto"/>
        <w:left w:val="none" w:sz="0" w:space="0" w:color="auto"/>
        <w:bottom w:val="none" w:sz="0" w:space="0" w:color="auto"/>
        <w:right w:val="none" w:sz="0" w:space="0" w:color="auto"/>
      </w:divBdr>
      <w:divsChild>
        <w:div w:id="1777943539">
          <w:marLeft w:val="360"/>
          <w:marRight w:val="0"/>
          <w:marTop w:val="200"/>
          <w:marBottom w:val="0"/>
          <w:divBdr>
            <w:top w:val="none" w:sz="0" w:space="0" w:color="auto"/>
            <w:left w:val="none" w:sz="0" w:space="0" w:color="auto"/>
            <w:bottom w:val="none" w:sz="0" w:space="0" w:color="auto"/>
            <w:right w:val="none" w:sz="0" w:space="0" w:color="auto"/>
          </w:divBdr>
        </w:div>
        <w:div w:id="1604611401">
          <w:marLeft w:val="360"/>
          <w:marRight w:val="0"/>
          <w:marTop w:val="200"/>
          <w:marBottom w:val="0"/>
          <w:divBdr>
            <w:top w:val="none" w:sz="0" w:space="0" w:color="auto"/>
            <w:left w:val="none" w:sz="0" w:space="0" w:color="auto"/>
            <w:bottom w:val="none" w:sz="0" w:space="0" w:color="auto"/>
            <w:right w:val="none" w:sz="0" w:space="0" w:color="auto"/>
          </w:divBdr>
        </w:div>
      </w:divsChild>
    </w:div>
    <w:div w:id="769273361">
      <w:bodyDiv w:val="1"/>
      <w:marLeft w:val="0"/>
      <w:marRight w:val="0"/>
      <w:marTop w:val="0"/>
      <w:marBottom w:val="0"/>
      <w:divBdr>
        <w:top w:val="none" w:sz="0" w:space="0" w:color="auto"/>
        <w:left w:val="none" w:sz="0" w:space="0" w:color="auto"/>
        <w:bottom w:val="none" w:sz="0" w:space="0" w:color="auto"/>
        <w:right w:val="none" w:sz="0" w:space="0" w:color="auto"/>
      </w:divBdr>
    </w:div>
    <w:div w:id="113791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hcommons.org/groups/sources-of-old-english-and-anglo-latin-literary-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9</Pages>
  <Words>1673</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Rauer</dc:creator>
  <cp:keywords/>
  <dc:description/>
  <cp:lastModifiedBy>Christine Rauer</cp:lastModifiedBy>
  <cp:revision>84</cp:revision>
  <dcterms:created xsi:type="dcterms:W3CDTF">2019-11-13T15:41:00Z</dcterms:created>
  <dcterms:modified xsi:type="dcterms:W3CDTF">2021-03-23T15:47:00Z</dcterms:modified>
</cp:coreProperties>
</file>