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A7A" w:rsidRPr="0075586D" w:rsidRDefault="00B54A7A" w:rsidP="0075586D">
      <w:pPr>
        <w:jc w:val="center"/>
        <w:rPr>
          <w:b/>
          <w:sz w:val="28"/>
          <w:szCs w:val="28"/>
        </w:rPr>
      </w:pPr>
      <w:bookmarkStart w:id="0" w:name="_GoBack"/>
      <w:bookmarkEnd w:id="0"/>
      <w:r w:rsidRPr="0075586D">
        <w:rPr>
          <w:b/>
          <w:sz w:val="28"/>
          <w:szCs w:val="28"/>
        </w:rPr>
        <w:t>Terms and Conditions for classes using Special Collections materials</w:t>
      </w:r>
    </w:p>
    <w:p w:rsidR="00BC4F02" w:rsidRDefault="00BC4F02"/>
    <w:p w:rsidR="00B54A7A" w:rsidRDefault="00B54A7A">
      <w:r>
        <w:t xml:space="preserve">The Special Collections Division of the University Library is delighted to support teaching by the provision of access for classes to the materials in its care. Classes are negotiated on an individual basis with the module co-ordinator. </w:t>
      </w:r>
    </w:p>
    <w:p w:rsidR="00B54A7A" w:rsidRDefault="00B54A7A">
      <w:r>
        <w:t>Classes are offered under the following conditions:</w:t>
      </w:r>
    </w:p>
    <w:p w:rsidR="00B54A7A" w:rsidRDefault="00B54A7A" w:rsidP="00B54A7A">
      <w:pPr>
        <w:pStyle w:val="ListParagraph"/>
        <w:numPr>
          <w:ilvl w:val="0"/>
          <w:numId w:val="1"/>
        </w:numPr>
      </w:pPr>
      <w:r>
        <w:t xml:space="preserve">Bookings are made through </w:t>
      </w:r>
      <w:hyperlink r:id="rId8" w:history="1">
        <w:r w:rsidRPr="000E4572">
          <w:rPr>
            <w:rStyle w:val="Hyperlink"/>
          </w:rPr>
          <w:t>speccoll@st-andrews.ac.uk</w:t>
        </w:r>
      </w:hyperlink>
      <w:r>
        <w:t xml:space="preserve"> using the form below</w:t>
      </w:r>
      <w:r w:rsidR="00517C10">
        <w:t>.</w:t>
      </w:r>
      <w:r>
        <w:t xml:space="preserve"> </w:t>
      </w:r>
    </w:p>
    <w:p w:rsidR="00B54A7A" w:rsidRDefault="00B54A7A" w:rsidP="00B54A7A">
      <w:pPr>
        <w:pStyle w:val="ListParagraph"/>
        <w:numPr>
          <w:ilvl w:val="0"/>
          <w:numId w:val="1"/>
        </w:numPr>
      </w:pPr>
      <w:r>
        <w:t>Receipt of the booking will be acknowledged and confirmation of availability of the space at the time requested will be given once any negotiation for alternative dates/times is complete, as required</w:t>
      </w:r>
      <w:r w:rsidR="00517C10">
        <w:t>.</w:t>
      </w:r>
    </w:p>
    <w:p w:rsidR="00B54A7A" w:rsidRDefault="00B54A7A" w:rsidP="00B54A7A">
      <w:pPr>
        <w:pStyle w:val="ListParagraph"/>
        <w:numPr>
          <w:ilvl w:val="0"/>
          <w:numId w:val="1"/>
        </w:numPr>
      </w:pPr>
      <w:r>
        <w:t>Classes will be held in the New Park Seminar Room in the Richardson Research Library in Martyrs Kirk, North Street or</w:t>
      </w:r>
      <w:r w:rsidR="00E3691D">
        <w:t>,</w:t>
      </w:r>
      <w:r>
        <w:t xml:space="preserve"> exceptionally, elsewhere by special arrangement</w:t>
      </w:r>
      <w:r w:rsidR="00517C10">
        <w:t>.</w:t>
      </w:r>
    </w:p>
    <w:p w:rsidR="00E3691D" w:rsidRDefault="00E3691D" w:rsidP="00B54A7A">
      <w:pPr>
        <w:pStyle w:val="ListParagraph"/>
        <w:numPr>
          <w:ilvl w:val="0"/>
          <w:numId w:val="1"/>
        </w:numPr>
      </w:pPr>
      <w:r>
        <w:t xml:space="preserve">30 minutes </w:t>
      </w:r>
      <w:r w:rsidR="00766597">
        <w:t xml:space="preserve">is </w:t>
      </w:r>
      <w:r>
        <w:t>required between classes to allow for changeover of materials</w:t>
      </w:r>
      <w:r w:rsidR="00517C10">
        <w:t>.</w:t>
      </w:r>
    </w:p>
    <w:p w:rsidR="00B54A7A" w:rsidRDefault="00B54A7A" w:rsidP="00B54A7A">
      <w:pPr>
        <w:pStyle w:val="ListParagraph"/>
        <w:numPr>
          <w:ilvl w:val="0"/>
          <w:numId w:val="1"/>
        </w:numPr>
      </w:pPr>
      <w:r>
        <w:t>The maximum number of students in any class is 15. Should the cohort be larger than this, repeat classes on the same day can be arranged</w:t>
      </w:r>
      <w:r w:rsidR="00E3691D">
        <w:t>. Exceptionally, the reading room can be booked for a class or visit of up to 30.</w:t>
      </w:r>
    </w:p>
    <w:p w:rsidR="00B54A7A" w:rsidRDefault="00B54A7A" w:rsidP="00B54A7A">
      <w:pPr>
        <w:pStyle w:val="ListParagraph"/>
        <w:numPr>
          <w:ilvl w:val="0"/>
          <w:numId w:val="1"/>
        </w:numPr>
      </w:pPr>
      <w:r>
        <w:t>A named contact will be provided by Special Collections who will arrange the details of the class</w:t>
      </w:r>
      <w:r w:rsidR="00E3691D">
        <w:t xml:space="preserve"> including table layout and expected numbers</w:t>
      </w:r>
      <w:r w:rsidR="00517C10">
        <w:t>.</w:t>
      </w:r>
    </w:p>
    <w:p w:rsidR="00B54A7A" w:rsidRDefault="00B54A7A" w:rsidP="00B54A7A">
      <w:pPr>
        <w:pStyle w:val="ListParagraph"/>
        <w:numPr>
          <w:ilvl w:val="0"/>
          <w:numId w:val="1"/>
        </w:numPr>
      </w:pPr>
      <w:r>
        <w:t xml:space="preserve">A suggested list of material to be used in class must be sent to the named contact AND </w:t>
      </w:r>
      <w:hyperlink r:id="rId9" w:history="1">
        <w:r w:rsidRPr="000E4572">
          <w:rPr>
            <w:rStyle w:val="Hyperlink"/>
          </w:rPr>
          <w:t>speccoll@st-andrews.ac.uk</w:t>
        </w:r>
      </w:hyperlink>
      <w:r>
        <w:t xml:space="preserve"> </w:t>
      </w:r>
      <w:r w:rsidRPr="00A76147">
        <w:rPr>
          <w:b/>
        </w:rPr>
        <w:t>one week before</w:t>
      </w:r>
      <w:r>
        <w:t xml:space="preserve"> the class.</w:t>
      </w:r>
      <w:r w:rsidR="00E3691D">
        <w:t xml:space="preserve"> Special Collections reserves the right to substitute alternative items where the physical condition of an original item precludes its use.</w:t>
      </w:r>
    </w:p>
    <w:p w:rsidR="00B54A7A" w:rsidRPr="00A76147" w:rsidRDefault="00B54A7A" w:rsidP="00B54A7A">
      <w:pPr>
        <w:pStyle w:val="ListParagraph"/>
        <w:numPr>
          <w:ilvl w:val="0"/>
          <w:numId w:val="1"/>
        </w:numPr>
        <w:rPr>
          <w:b/>
        </w:rPr>
      </w:pPr>
      <w:r w:rsidRPr="00A76147">
        <w:rPr>
          <w:b/>
        </w:rPr>
        <w:t xml:space="preserve">The final list of material </w:t>
      </w:r>
      <w:r w:rsidR="00E3691D" w:rsidRPr="00A76147">
        <w:rPr>
          <w:b/>
        </w:rPr>
        <w:t xml:space="preserve">must be confirmed not less than </w:t>
      </w:r>
      <w:r w:rsidR="00517C10">
        <w:rPr>
          <w:b/>
        </w:rPr>
        <w:t>2 working days</w:t>
      </w:r>
      <w:r w:rsidR="00E3691D" w:rsidRPr="00A76147">
        <w:rPr>
          <w:b/>
        </w:rPr>
        <w:t xml:space="preserve"> before class.</w:t>
      </w:r>
    </w:p>
    <w:p w:rsidR="00E3691D" w:rsidRDefault="00E3691D" w:rsidP="00B54A7A">
      <w:pPr>
        <w:pStyle w:val="ListParagraph"/>
        <w:numPr>
          <w:ilvl w:val="0"/>
          <w:numId w:val="1"/>
        </w:numPr>
      </w:pPr>
      <w:r>
        <w:t>The use of material will be managed in class by a member of Special Collections staff who will display the material before the class arrives, or produce material in order during the class, as previously arranged with the named contact.</w:t>
      </w:r>
      <w:r w:rsidR="00BC4F02">
        <w:t xml:space="preserve"> A short introduction to the handling and use of material and the work of the Division can be given if requested.</w:t>
      </w:r>
    </w:p>
    <w:p w:rsidR="00E3691D" w:rsidRDefault="00766597" w:rsidP="00B54A7A">
      <w:pPr>
        <w:pStyle w:val="ListParagraph"/>
        <w:numPr>
          <w:ilvl w:val="0"/>
          <w:numId w:val="1"/>
        </w:numPr>
      </w:pPr>
      <w:r>
        <w:t>The module co-ordinator should pass on the following information to those planning to attend a class in Special Collections:</w:t>
      </w:r>
    </w:p>
    <w:p w:rsidR="00766597" w:rsidRDefault="00766597" w:rsidP="00766597">
      <w:pPr>
        <w:pStyle w:val="ListParagraph"/>
        <w:numPr>
          <w:ilvl w:val="1"/>
          <w:numId w:val="1"/>
        </w:numPr>
      </w:pPr>
      <w:r>
        <w:t>Martyrs Kirk is a research space so please keep the noise to a minimum</w:t>
      </w:r>
    </w:p>
    <w:p w:rsidR="00766597" w:rsidRDefault="00766597" w:rsidP="00766597">
      <w:pPr>
        <w:pStyle w:val="ListParagraph"/>
        <w:numPr>
          <w:ilvl w:val="1"/>
          <w:numId w:val="1"/>
        </w:numPr>
      </w:pPr>
      <w:r>
        <w:t>Please arrive 5 minutes before the advertised start time</w:t>
      </w:r>
    </w:p>
    <w:p w:rsidR="00766597" w:rsidRDefault="00766597" w:rsidP="00766597">
      <w:pPr>
        <w:pStyle w:val="ListParagraph"/>
        <w:numPr>
          <w:ilvl w:val="1"/>
          <w:numId w:val="1"/>
        </w:numPr>
      </w:pPr>
      <w:r>
        <w:t>You will not be able to take bags or coats into the teaching room – lockers are provided</w:t>
      </w:r>
    </w:p>
    <w:p w:rsidR="00766597" w:rsidRDefault="00766597" w:rsidP="00766597">
      <w:pPr>
        <w:pStyle w:val="ListParagraph"/>
        <w:numPr>
          <w:ilvl w:val="1"/>
          <w:numId w:val="1"/>
        </w:numPr>
      </w:pPr>
      <w:r>
        <w:t>No food or drink is allowed in the teaching room</w:t>
      </w:r>
    </w:p>
    <w:p w:rsidR="00517C10" w:rsidRDefault="00517C10" w:rsidP="00766597">
      <w:pPr>
        <w:pStyle w:val="ListParagraph"/>
        <w:numPr>
          <w:ilvl w:val="1"/>
          <w:numId w:val="1"/>
        </w:numPr>
      </w:pPr>
      <w:r>
        <w:t>Pencils and laptops only – no pens</w:t>
      </w:r>
    </w:p>
    <w:p w:rsidR="00766597" w:rsidRDefault="00766597" w:rsidP="00766597">
      <w:pPr>
        <w:pStyle w:val="ListParagraph"/>
        <w:numPr>
          <w:ilvl w:val="1"/>
          <w:numId w:val="1"/>
        </w:numPr>
      </w:pPr>
      <w:r>
        <w:t>Please arrive with clean hands</w:t>
      </w:r>
    </w:p>
    <w:p w:rsidR="00766597" w:rsidRDefault="00766597" w:rsidP="00766597">
      <w:pPr>
        <w:pStyle w:val="ListParagraph"/>
        <w:numPr>
          <w:ilvl w:val="1"/>
          <w:numId w:val="1"/>
        </w:numPr>
      </w:pPr>
      <w:r>
        <w:t>Photography for your own personal use is allowed</w:t>
      </w:r>
    </w:p>
    <w:p w:rsidR="00766597" w:rsidRDefault="00766597" w:rsidP="00766597"/>
    <w:p w:rsidR="00766597" w:rsidRPr="0075586D" w:rsidRDefault="00766597" w:rsidP="00766597">
      <w:pPr>
        <w:rPr>
          <w:b/>
        </w:rPr>
      </w:pPr>
      <w:r w:rsidRPr="0075586D">
        <w:rPr>
          <w:b/>
        </w:rPr>
        <w:t>Request for the use of Special Collections Material in teaching</w:t>
      </w:r>
    </w:p>
    <w:tbl>
      <w:tblPr>
        <w:tblStyle w:val="TableGrid"/>
        <w:tblW w:w="9493" w:type="dxa"/>
        <w:tblLayout w:type="fixed"/>
        <w:tblLook w:val="04A0" w:firstRow="1" w:lastRow="0" w:firstColumn="1" w:lastColumn="0" w:noHBand="0" w:noVBand="1"/>
      </w:tblPr>
      <w:tblGrid>
        <w:gridCol w:w="1389"/>
        <w:gridCol w:w="1468"/>
        <w:gridCol w:w="824"/>
        <w:gridCol w:w="2551"/>
        <w:gridCol w:w="1276"/>
        <w:gridCol w:w="1134"/>
        <w:gridCol w:w="851"/>
      </w:tblGrid>
      <w:tr w:rsidR="0075586D" w:rsidTr="0075586D">
        <w:tc>
          <w:tcPr>
            <w:tcW w:w="1389" w:type="dxa"/>
          </w:tcPr>
          <w:p w:rsidR="0075586D" w:rsidRPr="0075586D" w:rsidRDefault="0075586D" w:rsidP="00766597">
            <w:pPr>
              <w:rPr>
                <w:b/>
                <w:sz w:val="16"/>
                <w:szCs w:val="16"/>
              </w:rPr>
            </w:pPr>
            <w:r w:rsidRPr="0075586D">
              <w:rPr>
                <w:b/>
                <w:sz w:val="16"/>
                <w:szCs w:val="16"/>
              </w:rPr>
              <w:t>Proposed date, time and duration</w:t>
            </w:r>
          </w:p>
        </w:tc>
        <w:tc>
          <w:tcPr>
            <w:tcW w:w="1468" w:type="dxa"/>
          </w:tcPr>
          <w:p w:rsidR="0075586D" w:rsidRPr="0075586D" w:rsidRDefault="0075586D" w:rsidP="00766597">
            <w:pPr>
              <w:rPr>
                <w:b/>
                <w:sz w:val="16"/>
                <w:szCs w:val="16"/>
              </w:rPr>
            </w:pPr>
            <w:r w:rsidRPr="0075586D">
              <w:rPr>
                <w:b/>
                <w:sz w:val="16"/>
                <w:szCs w:val="16"/>
              </w:rPr>
              <w:t>Alternative date, time and duration</w:t>
            </w:r>
          </w:p>
        </w:tc>
        <w:tc>
          <w:tcPr>
            <w:tcW w:w="824" w:type="dxa"/>
          </w:tcPr>
          <w:p w:rsidR="0075586D" w:rsidRPr="0075586D" w:rsidRDefault="0075586D" w:rsidP="00766597">
            <w:pPr>
              <w:rPr>
                <w:b/>
                <w:sz w:val="16"/>
                <w:szCs w:val="16"/>
              </w:rPr>
            </w:pPr>
            <w:r w:rsidRPr="0075586D">
              <w:rPr>
                <w:b/>
                <w:sz w:val="16"/>
                <w:szCs w:val="16"/>
              </w:rPr>
              <w:t>Module code</w:t>
            </w:r>
          </w:p>
        </w:tc>
        <w:tc>
          <w:tcPr>
            <w:tcW w:w="2551" w:type="dxa"/>
          </w:tcPr>
          <w:p w:rsidR="0075586D" w:rsidRPr="0075586D" w:rsidRDefault="0075586D" w:rsidP="00766597">
            <w:pPr>
              <w:rPr>
                <w:b/>
                <w:sz w:val="16"/>
                <w:szCs w:val="16"/>
              </w:rPr>
            </w:pPr>
            <w:r w:rsidRPr="0075586D">
              <w:rPr>
                <w:b/>
                <w:sz w:val="16"/>
                <w:szCs w:val="16"/>
              </w:rPr>
              <w:t>Module title</w:t>
            </w:r>
          </w:p>
        </w:tc>
        <w:tc>
          <w:tcPr>
            <w:tcW w:w="1276" w:type="dxa"/>
          </w:tcPr>
          <w:p w:rsidR="0075586D" w:rsidRPr="0075586D" w:rsidRDefault="0075586D" w:rsidP="00766597">
            <w:pPr>
              <w:rPr>
                <w:b/>
                <w:sz w:val="16"/>
                <w:szCs w:val="16"/>
              </w:rPr>
            </w:pPr>
            <w:r w:rsidRPr="0075586D">
              <w:rPr>
                <w:b/>
                <w:sz w:val="16"/>
                <w:szCs w:val="16"/>
              </w:rPr>
              <w:t>Teacher</w:t>
            </w:r>
          </w:p>
        </w:tc>
        <w:tc>
          <w:tcPr>
            <w:tcW w:w="1134" w:type="dxa"/>
          </w:tcPr>
          <w:p w:rsidR="0075586D" w:rsidRPr="0075586D" w:rsidRDefault="0075586D" w:rsidP="00766597">
            <w:pPr>
              <w:rPr>
                <w:b/>
                <w:sz w:val="16"/>
                <w:szCs w:val="16"/>
              </w:rPr>
            </w:pPr>
            <w:r w:rsidRPr="0075586D">
              <w:rPr>
                <w:b/>
                <w:sz w:val="16"/>
                <w:szCs w:val="16"/>
              </w:rPr>
              <w:t>Number of students</w:t>
            </w:r>
          </w:p>
        </w:tc>
        <w:tc>
          <w:tcPr>
            <w:tcW w:w="851" w:type="dxa"/>
          </w:tcPr>
          <w:p w:rsidR="0075586D" w:rsidRPr="0075586D" w:rsidRDefault="0075586D" w:rsidP="00766597">
            <w:pPr>
              <w:rPr>
                <w:b/>
                <w:sz w:val="16"/>
                <w:szCs w:val="16"/>
              </w:rPr>
            </w:pPr>
            <w:r w:rsidRPr="0075586D">
              <w:rPr>
                <w:b/>
                <w:sz w:val="16"/>
                <w:szCs w:val="16"/>
              </w:rPr>
              <w:t>Repeat class Y/N</w:t>
            </w:r>
          </w:p>
        </w:tc>
      </w:tr>
      <w:tr w:rsidR="0075586D" w:rsidTr="0075586D">
        <w:tc>
          <w:tcPr>
            <w:tcW w:w="1389" w:type="dxa"/>
          </w:tcPr>
          <w:p w:rsidR="0075586D" w:rsidRPr="0075586D" w:rsidRDefault="0075586D" w:rsidP="00766597">
            <w:pPr>
              <w:rPr>
                <w:sz w:val="16"/>
                <w:szCs w:val="16"/>
              </w:rPr>
            </w:pPr>
          </w:p>
        </w:tc>
        <w:tc>
          <w:tcPr>
            <w:tcW w:w="1468" w:type="dxa"/>
          </w:tcPr>
          <w:p w:rsidR="0075586D" w:rsidRPr="0075586D" w:rsidRDefault="0075586D" w:rsidP="00766597">
            <w:pPr>
              <w:rPr>
                <w:sz w:val="16"/>
                <w:szCs w:val="16"/>
              </w:rPr>
            </w:pPr>
          </w:p>
        </w:tc>
        <w:tc>
          <w:tcPr>
            <w:tcW w:w="824" w:type="dxa"/>
          </w:tcPr>
          <w:p w:rsidR="0075586D" w:rsidRPr="0075586D" w:rsidRDefault="0075586D" w:rsidP="00766597">
            <w:pPr>
              <w:rPr>
                <w:sz w:val="16"/>
                <w:szCs w:val="16"/>
              </w:rPr>
            </w:pPr>
          </w:p>
        </w:tc>
        <w:tc>
          <w:tcPr>
            <w:tcW w:w="2551" w:type="dxa"/>
          </w:tcPr>
          <w:p w:rsidR="0075586D" w:rsidRPr="0075586D" w:rsidRDefault="0075586D" w:rsidP="00766597">
            <w:pPr>
              <w:rPr>
                <w:sz w:val="16"/>
                <w:szCs w:val="16"/>
              </w:rPr>
            </w:pPr>
          </w:p>
        </w:tc>
        <w:tc>
          <w:tcPr>
            <w:tcW w:w="1276" w:type="dxa"/>
          </w:tcPr>
          <w:p w:rsidR="0075586D" w:rsidRPr="0075586D" w:rsidRDefault="0075586D" w:rsidP="00766597">
            <w:pPr>
              <w:rPr>
                <w:sz w:val="16"/>
                <w:szCs w:val="16"/>
              </w:rPr>
            </w:pPr>
          </w:p>
        </w:tc>
        <w:tc>
          <w:tcPr>
            <w:tcW w:w="1134" w:type="dxa"/>
          </w:tcPr>
          <w:p w:rsidR="0075586D" w:rsidRPr="0075586D" w:rsidRDefault="0075586D" w:rsidP="00766597">
            <w:pPr>
              <w:rPr>
                <w:sz w:val="16"/>
                <w:szCs w:val="16"/>
              </w:rPr>
            </w:pPr>
          </w:p>
        </w:tc>
        <w:tc>
          <w:tcPr>
            <w:tcW w:w="851" w:type="dxa"/>
          </w:tcPr>
          <w:p w:rsidR="0075586D" w:rsidRDefault="0075586D" w:rsidP="00766597">
            <w:pPr>
              <w:rPr>
                <w:sz w:val="16"/>
                <w:szCs w:val="16"/>
              </w:rPr>
            </w:pPr>
          </w:p>
          <w:p w:rsidR="0075586D" w:rsidRPr="0075586D" w:rsidRDefault="0075586D" w:rsidP="00766597">
            <w:pPr>
              <w:rPr>
                <w:sz w:val="16"/>
                <w:szCs w:val="16"/>
              </w:rPr>
            </w:pPr>
          </w:p>
        </w:tc>
      </w:tr>
      <w:tr w:rsidR="0075586D" w:rsidTr="0075586D">
        <w:tc>
          <w:tcPr>
            <w:tcW w:w="1389" w:type="dxa"/>
          </w:tcPr>
          <w:p w:rsidR="0075586D" w:rsidRPr="0075586D" w:rsidRDefault="0075586D" w:rsidP="00766597">
            <w:pPr>
              <w:rPr>
                <w:sz w:val="16"/>
                <w:szCs w:val="16"/>
              </w:rPr>
            </w:pPr>
          </w:p>
        </w:tc>
        <w:tc>
          <w:tcPr>
            <w:tcW w:w="1468" w:type="dxa"/>
          </w:tcPr>
          <w:p w:rsidR="0075586D" w:rsidRPr="0075586D" w:rsidRDefault="0075586D" w:rsidP="00766597">
            <w:pPr>
              <w:rPr>
                <w:sz w:val="16"/>
                <w:szCs w:val="16"/>
              </w:rPr>
            </w:pPr>
          </w:p>
        </w:tc>
        <w:tc>
          <w:tcPr>
            <w:tcW w:w="824" w:type="dxa"/>
          </w:tcPr>
          <w:p w:rsidR="0075586D" w:rsidRPr="0075586D" w:rsidRDefault="0075586D" w:rsidP="00766597">
            <w:pPr>
              <w:rPr>
                <w:sz w:val="16"/>
                <w:szCs w:val="16"/>
              </w:rPr>
            </w:pPr>
          </w:p>
        </w:tc>
        <w:tc>
          <w:tcPr>
            <w:tcW w:w="2551" w:type="dxa"/>
          </w:tcPr>
          <w:p w:rsidR="0075586D" w:rsidRPr="0075586D" w:rsidRDefault="0075586D" w:rsidP="00766597">
            <w:pPr>
              <w:rPr>
                <w:sz w:val="16"/>
                <w:szCs w:val="16"/>
              </w:rPr>
            </w:pPr>
          </w:p>
        </w:tc>
        <w:tc>
          <w:tcPr>
            <w:tcW w:w="1276" w:type="dxa"/>
          </w:tcPr>
          <w:p w:rsidR="0075586D" w:rsidRPr="0075586D" w:rsidRDefault="0075586D" w:rsidP="00766597">
            <w:pPr>
              <w:rPr>
                <w:sz w:val="16"/>
                <w:szCs w:val="16"/>
              </w:rPr>
            </w:pPr>
          </w:p>
        </w:tc>
        <w:tc>
          <w:tcPr>
            <w:tcW w:w="1134" w:type="dxa"/>
          </w:tcPr>
          <w:p w:rsidR="0075586D" w:rsidRPr="0075586D" w:rsidRDefault="0075586D" w:rsidP="00766597">
            <w:pPr>
              <w:rPr>
                <w:sz w:val="16"/>
                <w:szCs w:val="16"/>
              </w:rPr>
            </w:pPr>
          </w:p>
        </w:tc>
        <w:tc>
          <w:tcPr>
            <w:tcW w:w="851" w:type="dxa"/>
          </w:tcPr>
          <w:p w:rsidR="0075586D" w:rsidRDefault="0075586D" w:rsidP="00766597">
            <w:pPr>
              <w:rPr>
                <w:sz w:val="16"/>
                <w:szCs w:val="16"/>
              </w:rPr>
            </w:pPr>
          </w:p>
          <w:p w:rsidR="0075586D" w:rsidRPr="0075586D" w:rsidRDefault="0075586D" w:rsidP="00766597">
            <w:pPr>
              <w:rPr>
                <w:sz w:val="16"/>
                <w:szCs w:val="16"/>
              </w:rPr>
            </w:pPr>
          </w:p>
        </w:tc>
      </w:tr>
    </w:tbl>
    <w:p w:rsidR="0075586D" w:rsidRDefault="0075586D" w:rsidP="00766597">
      <w:pPr>
        <w:rPr>
          <w:b/>
          <w:sz w:val="20"/>
          <w:szCs w:val="20"/>
        </w:rPr>
      </w:pPr>
    </w:p>
    <w:p w:rsidR="00766597" w:rsidRPr="0075586D" w:rsidRDefault="0075586D" w:rsidP="00766597">
      <w:pPr>
        <w:rPr>
          <w:b/>
          <w:sz w:val="20"/>
          <w:szCs w:val="20"/>
        </w:rPr>
      </w:pPr>
      <w:r w:rsidRPr="0075586D">
        <w:rPr>
          <w:b/>
          <w:sz w:val="20"/>
          <w:szCs w:val="20"/>
        </w:rPr>
        <w:t xml:space="preserve">Please complete, copy and send in an email to </w:t>
      </w:r>
      <w:hyperlink r:id="rId10" w:history="1">
        <w:r w:rsidRPr="0075586D">
          <w:rPr>
            <w:rStyle w:val="Hyperlink"/>
            <w:b/>
            <w:sz w:val="20"/>
            <w:szCs w:val="20"/>
          </w:rPr>
          <w:t>rmh@st-andrews.ac.uk</w:t>
        </w:r>
      </w:hyperlink>
      <w:r w:rsidRPr="0075586D">
        <w:rPr>
          <w:b/>
          <w:sz w:val="20"/>
          <w:szCs w:val="20"/>
        </w:rPr>
        <w:t xml:space="preserve"> and </w:t>
      </w:r>
      <w:hyperlink r:id="rId11" w:history="1">
        <w:r w:rsidRPr="0075586D">
          <w:rPr>
            <w:rStyle w:val="Hyperlink"/>
            <w:b/>
            <w:sz w:val="20"/>
            <w:szCs w:val="20"/>
          </w:rPr>
          <w:t>speccoll@st-andrews.ac.uk</w:t>
        </w:r>
      </w:hyperlink>
      <w:r w:rsidRPr="0075586D">
        <w:rPr>
          <w:b/>
          <w:sz w:val="20"/>
          <w:szCs w:val="20"/>
        </w:rPr>
        <w:t xml:space="preserve"> </w:t>
      </w:r>
    </w:p>
    <w:sectPr w:rsidR="00766597" w:rsidRPr="0075586D" w:rsidSect="00BC4F02">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283" w:rsidRDefault="00244283" w:rsidP="0075586D">
      <w:pPr>
        <w:spacing w:after="0" w:line="240" w:lineRule="auto"/>
      </w:pPr>
      <w:r>
        <w:separator/>
      </w:r>
    </w:p>
  </w:endnote>
  <w:endnote w:type="continuationSeparator" w:id="0">
    <w:p w:rsidR="00244283" w:rsidRDefault="00244283" w:rsidP="0075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86D" w:rsidRPr="0075586D" w:rsidRDefault="0075586D">
    <w:pPr>
      <w:pStyle w:val="Footer"/>
      <w:rPr>
        <w:sz w:val="18"/>
        <w:szCs w:val="18"/>
      </w:rPr>
    </w:pPr>
    <w:r w:rsidRPr="0075586D">
      <w:rPr>
        <w:sz w:val="18"/>
        <w:szCs w:val="18"/>
      </w:rPr>
      <w:t>Jan 2018</w:t>
    </w:r>
    <w:r>
      <w:rPr>
        <w:sz w:val="18"/>
        <w:szCs w:val="18"/>
      </w:rPr>
      <w:t xml:space="preserve"> v.1</w:t>
    </w:r>
  </w:p>
  <w:p w:rsidR="0075586D" w:rsidRDefault="0075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283" w:rsidRDefault="00244283" w:rsidP="0075586D">
      <w:pPr>
        <w:spacing w:after="0" w:line="240" w:lineRule="auto"/>
      </w:pPr>
      <w:r>
        <w:separator/>
      </w:r>
    </w:p>
  </w:footnote>
  <w:footnote w:type="continuationSeparator" w:id="0">
    <w:p w:rsidR="00244283" w:rsidRDefault="00244283" w:rsidP="00755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C16CF"/>
    <w:multiLevelType w:val="hybridMultilevel"/>
    <w:tmpl w:val="8CD8D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7A"/>
    <w:rsid w:val="001672A7"/>
    <w:rsid w:val="00244283"/>
    <w:rsid w:val="00517C10"/>
    <w:rsid w:val="0075586D"/>
    <w:rsid w:val="00766597"/>
    <w:rsid w:val="00A76147"/>
    <w:rsid w:val="00B54A7A"/>
    <w:rsid w:val="00BC4F02"/>
    <w:rsid w:val="00BD2977"/>
    <w:rsid w:val="00C83CCE"/>
    <w:rsid w:val="00E3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CF1D7-12CB-4081-BFD9-C56A96D5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A7A"/>
    <w:pPr>
      <w:ind w:left="720"/>
      <w:contextualSpacing/>
    </w:pPr>
  </w:style>
  <w:style w:type="character" w:styleId="Hyperlink">
    <w:name w:val="Hyperlink"/>
    <w:basedOn w:val="DefaultParagraphFont"/>
    <w:uiPriority w:val="99"/>
    <w:unhideWhenUsed/>
    <w:rsid w:val="00B54A7A"/>
    <w:rPr>
      <w:color w:val="0563C1" w:themeColor="hyperlink"/>
      <w:u w:val="single"/>
    </w:rPr>
  </w:style>
  <w:style w:type="table" w:styleId="TableGrid">
    <w:name w:val="Table Grid"/>
    <w:basedOn w:val="TableNormal"/>
    <w:uiPriority w:val="39"/>
    <w:rsid w:val="0076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86D"/>
  </w:style>
  <w:style w:type="paragraph" w:styleId="Footer">
    <w:name w:val="footer"/>
    <w:basedOn w:val="Normal"/>
    <w:link w:val="FooterChar"/>
    <w:uiPriority w:val="99"/>
    <w:unhideWhenUsed/>
    <w:rsid w:val="00755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86D"/>
  </w:style>
  <w:style w:type="paragraph" w:styleId="BalloonText">
    <w:name w:val="Balloon Text"/>
    <w:basedOn w:val="Normal"/>
    <w:link w:val="BalloonTextChar"/>
    <w:uiPriority w:val="99"/>
    <w:semiHidden/>
    <w:unhideWhenUsed/>
    <w:rsid w:val="0051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coll@st-andrew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ccoll@st-andrews.ac.uk" TargetMode="External"/><Relationship Id="rId5" Type="http://schemas.openxmlformats.org/officeDocument/2006/relationships/webSettings" Target="webSettings.xml"/><Relationship Id="rId10" Type="http://schemas.openxmlformats.org/officeDocument/2006/relationships/hyperlink" Target="mailto:rmh@st-andrews.ac.uk" TargetMode="External"/><Relationship Id="rId4" Type="http://schemas.openxmlformats.org/officeDocument/2006/relationships/settings" Target="settings.xml"/><Relationship Id="rId9" Type="http://schemas.openxmlformats.org/officeDocument/2006/relationships/hyperlink" Target="mailto:speccoll@st-andrew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FAE8-CE7D-4EEA-AABA-077C6AB2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Hart</dc:creator>
  <cp:keywords/>
  <dc:description/>
  <cp:lastModifiedBy>Elizabeth Andrews</cp:lastModifiedBy>
  <cp:revision>2</cp:revision>
  <cp:lastPrinted>2017-12-19T13:26:00Z</cp:lastPrinted>
  <dcterms:created xsi:type="dcterms:W3CDTF">2019-10-01T11:18:00Z</dcterms:created>
  <dcterms:modified xsi:type="dcterms:W3CDTF">2019-10-01T11:18:00Z</dcterms:modified>
</cp:coreProperties>
</file>